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00B7" w14:textId="77777777" w:rsidR="007E62A3" w:rsidRPr="00A45B89" w:rsidRDefault="007E62A3" w:rsidP="00673331">
      <w:pPr>
        <w:tabs>
          <w:tab w:val="left" w:pos="1943"/>
        </w:tabs>
        <w:ind w:firstLine="709"/>
        <w:jc w:val="center"/>
        <w:rPr>
          <w:b/>
        </w:rPr>
      </w:pPr>
    </w:p>
    <w:p w14:paraId="3B942B3F" w14:textId="538BC198" w:rsidR="001928DE" w:rsidRPr="00A45B89" w:rsidRDefault="00C06786" w:rsidP="00673331">
      <w:pPr>
        <w:tabs>
          <w:tab w:val="left" w:pos="1943"/>
        </w:tabs>
        <w:ind w:firstLine="709"/>
        <w:jc w:val="center"/>
        <w:rPr>
          <w:b/>
        </w:rPr>
      </w:pPr>
      <w:proofErr w:type="gramStart"/>
      <w:r w:rsidRPr="00A45B89">
        <w:rPr>
          <w:b/>
        </w:rPr>
        <w:t>K  A</w:t>
      </w:r>
      <w:proofErr w:type="gramEnd"/>
      <w:r w:rsidRPr="00A45B89">
        <w:rPr>
          <w:b/>
        </w:rPr>
        <w:t xml:space="preserve">  R  A  R</w:t>
      </w:r>
    </w:p>
    <w:p w14:paraId="3BAC1D22" w14:textId="77777777" w:rsidR="00B063C5" w:rsidRPr="00A45B89" w:rsidRDefault="00B063C5" w:rsidP="0003509C">
      <w:pPr>
        <w:ind w:firstLine="708"/>
        <w:jc w:val="both"/>
      </w:pPr>
      <w:bookmarkStart w:id="0" w:name="__DdeLink__146_2610451006"/>
    </w:p>
    <w:p w14:paraId="38092CBB" w14:textId="6B4FB9AB" w:rsidR="00794C09" w:rsidRDefault="007D27C9" w:rsidP="00EC54E0">
      <w:pPr>
        <w:ind w:firstLine="708"/>
        <w:jc w:val="both"/>
      </w:pPr>
      <w:r w:rsidRPr="007D27C9">
        <w:t>Alagöz Mahallesi 613 Ada 1 Parsel numaralı taşınmaza yönelik hazırlanan 1/1000 Ölçekli Uygulama İmar Planı Değişikliği ile ilgili</w:t>
      </w:r>
      <w:r w:rsidRPr="0023348C">
        <w:rPr>
          <w:sz w:val="23"/>
          <w:szCs w:val="23"/>
        </w:rPr>
        <w:t xml:space="preserve"> </w:t>
      </w:r>
      <w:r w:rsidR="002316EC" w:rsidRPr="002316EC">
        <w:rPr>
          <w:rFonts w:eastAsia="Calibri"/>
          <w:lang w:eastAsia="en-US"/>
        </w:rPr>
        <w:t>İmar ve Bayındırlık Komisyonu</w:t>
      </w:r>
      <w:r w:rsidR="00F063BF" w:rsidRPr="00A45B89">
        <w:rPr>
          <w:rFonts w:eastAsia="Calibri"/>
          <w:color w:val="000000"/>
        </w:rPr>
        <w:t>nun</w:t>
      </w:r>
      <w:bookmarkEnd w:id="0"/>
      <w:r w:rsidR="00F063BF" w:rsidRPr="00A45B89">
        <w:rPr>
          <w:rFonts w:eastAsia="Calibri"/>
          <w:color w:val="000000"/>
        </w:rPr>
        <w:t xml:space="preserve"> </w:t>
      </w:r>
      <w:r>
        <w:rPr>
          <w:rFonts w:eastAsia="Calibri"/>
          <w:color w:val="000000"/>
        </w:rPr>
        <w:t>20</w:t>
      </w:r>
      <w:r w:rsidR="003F76F5" w:rsidRPr="00A45B89">
        <w:rPr>
          <w:rFonts w:eastAsia="Calibri"/>
          <w:color w:val="000000"/>
        </w:rPr>
        <w:t>.</w:t>
      </w:r>
      <w:r>
        <w:rPr>
          <w:rFonts w:eastAsia="Calibri"/>
          <w:color w:val="000000"/>
        </w:rPr>
        <w:t>02</w:t>
      </w:r>
      <w:r w:rsidR="009D346A" w:rsidRPr="00A45B89">
        <w:rPr>
          <w:rFonts w:eastAsia="Calibri"/>
          <w:color w:val="000000"/>
        </w:rPr>
        <w:t>.202</w:t>
      </w:r>
      <w:r>
        <w:rPr>
          <w:rFonts w:eastAsia="Calibri"/>
          <w:color w:val="000000"/>
        </w:rPr>
        <w:t>6</w:t>
      </w:r>
      <w:r w:rsidR="00F063BF" w:rsidRPr="00A45B89">
        <w:rPr>
          <w:rFonts w:eastAsia="Calibri"/>
          <w:color w:val="000000"/>
        </w:rPr>
        <w:t xml:space="preserve"> tarih ve </w:t>
      </w:r>
      <w:r>
        <w:rPr>
          <w:rFonts w:eastAsia="Calibri"/>
          <w:color w:val="000000"/>
        </w:rPr>
        <w:t>05</w:t>
      </w:r>
      <w:r w:rsidR="00123070" w:rsidRPr="00A45B89">
        <w:rPr>
          <w:rFonts w:eastAsia="Calibri"/>
          <w:color w:val="000000"/>
        </w:rPr>
        <w:t xml:space="preserve"> </w:t>
      </w:r>
      <w:r w:rsidR="00F063BF" w:rsidRPr="00A45B89">
        <w:rPr>
          <w:rFonts w:eastAsia="Calibri"/>
          <w:color w:val="000000"/>
        </w:rPr>
        <w:t>sayılı</w:t>
      </w:r>
      <w:r w:rsidR="00590A58" w:rsidRPr="00A45B89">
        <w:rPr>
          <w:rFonts w:eastAsia="Calibri"/>
          <w:color w:val="000000"/>
        </w:rPr>
        <w:t xml:space="preserve"> </w:t>
      </w:r>
      <w:r w:rsidR="00F063BF" w:rsidRPr="00A45B89">
        <w:rPr>
          <w:rFonts w:eastAsia="Calibri"/>
          <w:color w:val="000000"/>
        </w:rPr>
        <w:t>raporu.</w:t>
      </w:r>
    </w:p>
    <w:p w14:paraId="3C9136A0" w14:textId="77777777" w:rsidR="007D27C9" w:rsidRPr="00C25829" w:rsidRDefault="00C06786" w:rsidP="00EC54E0">
      <w:pPr>
        <w:ind w:firstLine="708"/>
        <w:contextualSpacing/>
        <w:jc w:val="both"/>
        <w:rPr>
          <w:sz w:val="22"/>
          <w:szCs w:val="22"/>
        </w:rPr>
      </w:pPr>
      <w:r w:rsidRPr="00A45B89">
        <w:t>(</w:t>
      </w:r>
      <w:r w:rsidR="007D27C9" w:rsidRPr="00C25829">
        <w:rPr>
          <w:sz w:val="22"/>
          <w:szCs w:val="22"/>
        </w:rPr>
        <w:t xml:space="preserve">Belediye meclisimizin 02.02.2026 tarihinde yapmış olduğu birleşimde görüşülerek komisyonumuza havale edilen, </w:t>
      </w:r>
      <w:r w:rsidR="007D27C9" w:rsidRPr="0023348C">
        <w:rPr>
          <w:sz w:val="23"/>
          <w:szCs w:val="23"/>
        </w:rPr>
        <w:t xml:space="preserve">Alagöz Mahallesi 613 Ada 1 Parsel numaralı taşınmaza yönelik hazırlanan 1/1000 Ölçekli Uygulama İmar Planı Değişikliği ile ilgili </w:t>
      </w:r>
      <w:r w:rsidR="007D27C9" w:rsidRPr="00C25829">
        <w:rPr>
          <w:sz w:val="22"/>
          <w:szCs w:val="22"/>
        </w:rPr>
        <w:t>dosya incelendi.</w:t>
      </w:r>
    </w:p>
    <w:p w14:paraId="29E974F6" w14:textId="77777777" w:rsidR="007D27C9" w:rsidRPr="00C25829" w:rsidRDefault="007D27C9" w:rsidP="007D27C9">
      <w:pPr>
        <w:ind w:firstLine="708"/>
        <w:contextualSpacing/>
        <w:jc w:val="both"/>
        <w:rPr>
          <w:sz w:val="22"/>
          <w:szCs w:val="22"/>
        </w:rPr>
      </w:pPr>
    </w:p>
    <w:p w14:paraId="7C38DD3A" w14:textId="77777777" w:rsidR="007D27C9" w:rsidRPr="00C25829" w:rsidRDefault="007D27C9" w:rsidP="007D27C9">
      <w:pPr>
        <w:ind w:right="-1"/>
        <w:rPr>
          <w:b/>
          <w:sz w:val="22"/>
          <w:szCs w:val="22"/>
          <w:u w:val="single"/>
        </w:rPr>
      </w:pPr>
      <w:r w:rsidRPr="00C25829">
        <w:rPr>
          <w:b/>
          <w:sz w:val="22"/>
          <w:szCs w:val="22"/>
          <w:u w:val="single"/>
        </w:rPr>
        <w:t>Yapılan inceleme ile;</w:t>
      </w:r>
    </w:p>
    <w:p w14:paraId="2C8BEE6F" w14:textId="77777777" w:rsidR="007D27C9" w:rsidRPr="00C25829" w:rsidRDefault="007D27C9" w:rsidP="007D27C9">
      <w:pPr>
        <w:ind w:right="-1"/>
        <w:rPr>
          <w:sz w:val="22"/>
          <w:szCs w:val="22"/>
          <w:u w:val="single"/>
        </w:rPr>
      </w:pPr>
    </w:p>
    <w:p w14:paraId="0F46F59D" w14:textId="6943F580" w:rsidR="007D27C9" w:rsidRPr="00C25829" w:rsidRDefault="007D27C9" w:rsidP="007D27C9">
      <w:pPr>
        <w:pStyle w:val="ListeParagraf"/>
        <w:numPr>
          <w:ilvl w:val="0"/>
          <w:numId w:val="24"/>
        </w:numPr>
        <w:spacing w:line="259" w:lineRule="auto"/>
        <w:ind w:right="-1"/>
        <w:contextualSpacing/>
        <w:jc w:val="both"/>
      </w:pPr>
      <w:r w:rsidRPr="00C25829">
        <w:rPr>
          <w:color w:val="000000"/>
        </w:rPr>
        <w:t xml:space="preserve">Planlama alanının, </w:t>
      </w:r>
      <w:r w:rsidRPr="00C25829">
        <w:t xml:space="preserve">Alagöz Mahallesi </w:t>
      </w:r>
      <w:r w:rsidRPr="00C25829">
        <w:rPr>
          <w:bCs/>
        </w:rPr>
        <w:t>613 Ada 1 Parsel n</w:t>
      </w:r>
      <w:r w:rsidRPr="00C25829">
        <w:t xml:space="preserve">umaralı taşınmaz olduğu, 28.104,34 m² büyüklüğünde ve </w:t>
      </w:r>
      <w:r w:rsidRPr="00C25829">
        <w:rPr>
          <w:color w:val="000000"/>
        </w:rPr>
        <w:t>şahıs mülkiyetinde olduğu,</w:t>
      </w:r>
    </w:p>
    <w:p w14:paraId="304940FB" w14:textId="77777777" w:rsidR="007D27C9" w:rsidRPr="00C25829" w:rsidRDefault="007D27C9" w:rsidP="007D27C9">
      <w:pPr>
        <w:pStyle w:val="ListeParagraf"/>
        <w:numPr>
          <w:ilvl w:val="0"/>
          <w:numId w:val="24"/>
        </w:numPr>
        <w:spacing w:line="276" w:lineRule="auto"/>
        <w:ind w:right="-1"/>
        <w:contextualSpacing/>
        <w:jc w:val="both"/>
      </w:pPr>
      <w:r w:rsidRPr="00C25829">
        <w:t xml:space="preserve">Planlama alanının, mülga Temelli Belediye Meclisinin 01.01.2004 tarih 30 sayılı kararı ile onaylanan </w:t>
      </w:r>
      <w:r w:rsidRPr="00C25829">
        <w:rPr>
          <w:i/>
          <w:iCs/>
        </w:rPr>
        <w:t xml:space="preserve">“Temelli (Ankara) Nazım İmar </w:t>
      </w:r>
      <w:proofErr w:type="spellStart"/>
      <w:r w:rsidRPr="00C25829">
        <w:rPr>
          <w:i/>
          <w:iCs/>
        </w:rPr>
        <w:t>Planı”</w:t>
      </w:r>
      <w:r w:rsidRPr="00C25829">
        <w:t>nda</w:t>
      </w:r>
      <w:proofErr w:type="spellEnd"/>
      <w:r w:rsidRPr="00C25829">
        <w:t xml:space="preserve"> içerisinde Konut Alanı, Kentsel Servis Alanı ve Park kullanımlarında kaldığı, daha sonra 15.03.2013 tarih 513 sayılı Ankara Büyükşehir Belediye Meclisi kararı ile onaylanan Temelli/</w:t>
      </w:r>
      <w:proofErr w:type="spellStart"/>
      <w:r w:rsidRPr="00C25829">
        <w:t>Malıköy</w:t>
      </w:r>
      <w:proofErr w:type="spellEnd"/>
      <w:r w:rsidRPr="00C25829">
        <w:t xml:space="preserve"> ve Çevresi ile Sincan Bağlantı yoluna ait 1/5000 ölçekli Nazım İmar Planı kapsamında Konut Alanı, Kentsel Servis Alanı ve Park kullanımlarında kaldığı,</w:t>
      </w:r>
    </w:p>
    <w:p w14:paraId="054EB8D3" w14:textId="77777777" w:rsidR="007D27C9" w:rsidRPr="00C25829" w:rsidRDefault="007D27C9" w:rsidP="007D27C9">
      <w:pPr>
        <w:pStyle w:val="ListeParagraf"/>
        <w:numPr>
          <w:ilvl w:val="0"/>
          <w:numId w:val="24"/>
        </w:numPr>
        <w:spacing w:after="160" w:line="259" w:lineRule="auto"/>
        <w:contextualSpacing/>
        <w:jc w:val="both"/>
      </w:pPr>
      <w:r w:rsidRPr="00C25829">
        <w:t xml:space="preserve">Söz konusu taşınmaza yönelik imar planına esas Jeolojik ve </w:t>
      </w:r>
      <w:proofErr w:type="spellStart"/>
      <w:r w:rsidRPr="00C25829">
        <w:t>jeoteknik</w:t>
      </w:r>
      <w:proofErr w:type="spellEnd"/>
      <w:r w:rsidRPr="00C25829">
        <w:t xml:space="preserve"> Etüt raporunun Ankara Çevre Şehircilik ve İl Müdürlüğü’nce 28.12.2017 tarihinde onaylandığı, </w:t>
      </w:r>
    </w:p>
    <w:p w14:paraId="38152FC0" w14:textId="77777777" w:rsidR="007D27C9" w:rsidRPr="00C25829" w:rsidRDefault="007D27C9" w:rsidP="007D27C9">
      <w:pPr>
        <w:pStyle w:val="ListeParagraf"/>
        <w:numPr>
          <w:ilvl w:val="0"/>
          <w:numId w:val="24"/>
        </w:numPr>
        <w:spacing w:line="259" w:lineRule="auto"/>
        <w:ind w:right="-1"/>
        <w:contextualSpacing/>
        <w:jc w:val="both"/>
      </w:pPr>
      <w:r w:rsidRPr="00C25829">
        <w:t>Hasan ARISOY tarafından 14.05.2025 tarih 173157 sayılı dilekçe ile belediyemize Alagöz</w:t>
      </w:r>
    </w:p>
    <w:p w14:paraId="1FD59BF7" w14:textId="77777777" w:rsidR="007D27C9" w:rsidRPr="00C25829" w:rsidRDefault="007D27C9" w:rsidP="007D27C9">
      <w:pPr>
        <w:pStyle w:val="ListeParagraf"/>
        <w:numPr>
          <w:ilvl w:val="0"/>
          <w:numId w:val="24"/>
        </w:numPr>
        <w:spacing w:line="259" w:lineRule="auto"/>
        <w:ind w:right="-1"/>
        <w:contextualSpacing/>
        <w:jc w:val="both"/>
      </w:pPr>
      <w:r w:rsidRPr="00C25829">
        <w:t xml:space="preserve">Mahallesi 613 ada 1 parsele yönelik imar planı çalışması yapılması planlandığından bahisle alınan kurum görüşleri doğrultusunda hazırlanan 1/1000 ölçekli uygulama imar planının onaylanmasının talep edildiği, parsel maliklerinin tamamının </w:t>
      </w:r>
      <w:proofErr w:type="spellStart"/>
      <w:r w:rsidRPr="00C25829">
        <w:t>muvafakatının</w:t>
      </w:r>
      <w:proofErr w:type="spellEnd"/>
      <w:r w:rsidRPr="00C25829">
        <w:t xml:space="preserve"> bulunduğu,</w:t>
      </w:r>
    </w:p>
    <w:p w14:paraId="60CD0395" w14:textId="77777777" w:rsidR="007D27C9" w:rsidRPr="00C25829" w:rsidRDefault="007D27C9" w:rsidP="007D27C9">
      <w:pPr>
        <w:pStyle w:val="ListeParagraf"/>
        <w:ind w:left="360" w:right="-1"/>
      </w:pPr>
    </w:p>
    <w:p w14:paraId="340F5574" w14:textId="77777777" w:rsidR="007D27C9" w:rsidRPr="00C25829" w:rsidRDefault="007D27C9" w:rsidP="007D27C9">
      <w:pPr>
        <w:pStyle w:val="ListeParagraf"/>
        <w:ind w:left="0" w:right="-1"/>
        <w:rPr>
          <w:b/>
          <w:u w:val="single"/>
        </w:rPr>
      </w:pPr>
      <w:r w:rsidRPr="00C25829">
        <w:rPr>
          <w:b/>
          <w:u w:val="single"/>
        </w:rPr>
        <w:t>Sunulan imar planı dosyası incelendiğinde;</w:t>
      </w:r>
    </w:p>
    <w:p w14:paraId="4B4E1350" w14:textId="77777777" w:rsidR="007D27C9" w:rsidRPr="00C25829" w:rsidRDefault="007D27C9" w:rsidP="007D27C9">
      <w:pPr>
        <w:pStyle w:val="ListeParagraf"/>
        <w:ind w:left="360"/>
      </w:pPr>
    </w:p>
    <w:p w14:paraId="0D47CB8B" w14:textId="77777777" w:rsidR="007D27C9" w:rsidRPr="00C25829" w:rsidRDefault="007D27C9" w:rsidP="007D27C9">
      <w:pPr>
        <w:pStyle w:val="ListeParagraf"/>
        <w:ind w:left="360"/>
        <w:jc w:val="both"/>
      </w:pPr>
      <w:r w:rsidRPr="00C25829">
        <w:t xml:space="preserve">İlçemiz Alagöz Mahallesi sınırları içerisinde bulunan </w:t>
      </w:r>
      <w:r w:rsidRPr="00C25829">
        <w:rPr>
          <w:b/>
          <w:bCs/>
          <w:i/>
          <w:iCs/>
        </w:rPr>
        <w:t>“613 Ada 1 Parsele Yönelik 1/1.000 Ölçekli Uygulama İmar Planı”</w:t>
      </w:r>
      <w:r w:rsidRPr="00C25829">
        <w:t xml:space="preserve"> Kurum görüşlerinin aşağıdaki gibi olduğu;</w:t>
      </w:r>
    </w:p>
    <w:p w14:paraId="1658410E" w14:textId="77777777" w:rsidR="007D27C9" w:rsidRPr="00C25829" w:rsidRDefault="007D27C9" w:rsidP="007D27C9">
      <w:pPr>
        <w:jc w:val="both"/>
        <w:rPr>
          <w:sz w:val="22"/>
          <w:szCs w:val="22"/>
        </w:rPr>
      </w:pPr>
    </w:p>
    <w:p w14:paraId="52C47A58" w14:textId="77777777" w:rsidR="007D27C9" w:rsidRPr="00C25829" w:rsidRDefault="007D27C9" w:rsidP="007D27C9">
      <w:pPr>
        <w:pStyle w:val="ListeParagraf"/>
        <w:ind w:left="360" w:right="-1"/>
        <w:jc w:val="both"/>
      </w:pPr>
      <w:r w:rsidRPr="00C25829">
        <w:rPr>
          <w:b/>
          <w:bCs/>
        </w:rPr>
        <w:t xml:space="preserve">Ankara Çevre, Şehircilik ve İklim Değişikliği İl Müdürlüğü’nün, </w:t>
      </w:r>
      <w:r w:rsidRPr="00C25829">
        <w:t>18.08.2025 tarih</w:t>
      </w:r>
      <w:r w:rsidRPr="00C25829">
        <w:rPr>
          <w:b/>
          <w:bCs/>
        </w:rPr>
        <w:t xml:space="preserve"> </w:t>
      </w:r>
      <w:r w:rsidRPr="00C25829">
        <w:t xml:space="preserve">13322936 sayılı yazısında </w:t>
      </w:r>
      <w:r w:rsidRPr="00C25829">
        <w:rPr>
          <w:i/>
          <w:iCs/>
        </w:rPr>
        <w:t xml:space="preserve">“Mekânsal Planlama genel müdürlüğünün 13304675 sayılı yazısında İl Müdürlüğünce 28.12.2017 tarihinde onaylanan Ankara İli, Sincan İlçesi Alagöz mahallesi 613 ada 1 parselin imar planına esas Jeolojik ve </w:t>
      </w:r>
      <w:proofErr w:type="spellStart"/>
      <w:r w:rsidRPr="00C25829">
        <w:rPr>
          <w:i/>
          <w:iCs/>
        </w:rPr>
        <w:t>jeoteknik</w:t>
      </w:r>
      <w:proofErr w:type="spellEnd"/>
      <w:r w:rsidRPr="00C25829">
        <w:rPr>
          <w:i/>
          <w:iCs/>
        </w:rPr>
        <w:t xml:space="preserve"> etüt raporunun bulunduğu”</w:t>
      </w:r>
      <w:r w:rsidRPr="00C25829">
        <w:t xml:space="preserve"> belirtildiği,</w:t>
      </w:r>
    </w:p>
    <w:p w14:paraId="56966E04" w14:textId="77777777" w:rsidR="007D27C9" w:rsidRPr="00C25829" w:rsidRDefault="007D27C9" w:rsidP="007D27C9">
      <w:pPr>
        <w:pStyle w:val="ListeParagraf"/>
        <w:ind w:left="360" w:right="-1"/>
        <w:jc w:val="both"/>
      </w:pPr>
    </w:p>
    <w:p w14:paraId="64076671" w14:textId="77777777" w:rsidR="007D27C9" w:rsidRPr="00C25829" w:rsidRDefault="007D27C9" w:rsidP="007D27C9">
      <w:pPr>
        <w:pStyle w:val="ListeParagraf"/>
        <w:ind w:left="360" w:right="-1"/>
        <w:jc w:val="both"/>
      </w:pPr>
      <w:r w:rsidRPr="00C25829">
        <w:rPr>
          <w:b/>
          <w:bCs/>
        </w:rPr>
        <w:t>TEİAŞ 8. Bölge Müdürlüğü’nün</w:t>
      </w:r>
      <w:r w:rsidRPr="00C25829">
        <w:t xml:space="preserve"> 29.08.2025 tarih ve 3289866 sayılı yazısında </w:t>
      </w:r>
      <w:r w:rsidRPr="00C25829">
        <w:rPr>
          <w:i/>
          <w:iCs/>
        </w:rPr>
        <w:t>"Söz konusu planlama alanı içerisinde Teşekkülümüze ait herhangi bir enerji iletim hattı/tesisi bulunmadığı"</w:t>
      </w:r>
      <w:r w:rsidRPr="00C25829">
        <w:t xml:space="preserve"> denildiği,</w:t>
      </w:r>
    </w:p>
    <w:p w14:paraId="0AF1F8D6" w14:textId="77777777" w:rsidR="007D27C9" w:rsidRPr="00C25829" w:rsidRDefault="007D27C9" w:rsidP="007D27C9">
      <w:pPr>
        <w:pStyle w:val="ListeParagraf"/>
        <w:ind w:left="360" w:right="-1"/>
        <w:jc w:val="both"/>
      </w:pPr>
    </w:p>
    <w:p w14:paraId="7FE3DFE9" w14:textId="1E4F4F15" w:rsidR="007D27C9" w:rsidRDefault="007D27C9" w:rsidP="007D27C9">
      <w:pPr>
        <w:pStyle w:val="ListeParagraf"/>
        <w:ind w:left="360" w:right="-1"/>
        <w:jc w:val="both"/>
      </w:pPr>
      <w:r w:rsidRPr="00C25829">
        <w:rPr>
          <w:b/>
          <w:bCs/>
        </w:rPr>
        <w:t xml:space="preserve">Kültür ve Turizm Bakanlığı Ankara Kültür Varlıkları Koruma Bölge Müdürlüğü’nün, </w:t>
      </w:r>
      <w:r w:rsidRPr="00C25829">
        <w:t xml:space="preserve">31.08.2025 tarih ve 7207768 sayılı yazısında </w:t>
      </w:r>
      <w:r w:rsidRPr="00C25829">
        <w:rPr>
          <w:i/>
          <w:iCs/>
        </w:rPr>
        <w:t>"… korunması gerekli kültür varlığına rastlanılmamış olup imar planı ve çalışmalarına konu edilmesi ile ilgili Müdürlüğümüzce yapılacak bir işlem bulunmamaktadır.</w:t>
      </w:r>
      <w:r w:rsidRPr="00C25829">
        <w:t>” şeklinde görüş bildirildiği,</w:t>
      </w:r>
    </w:p>
    <w:p w14:paraId="6399A534" w14:textId="1863AE29" w:rsidR="007D27C9" w:rsidRDefault="007D27C9" w:rsidP="007D27C9">
      <w:pPr>
        <w:pStyle w:val="ListeParagraf"/>
        <w:ind w:left="360" w:right="-1"/>
        <w:jc w:val="both"/>
      </w:pPr>
    </w:p>
    <w:p w14:paraId="431D0E72" w14:textId="77777777" w:rsidR="007D27C9" w:rsidRPr="00C25829" w:rsidRDefault="007D27C9" w:rsidP="007D27C9">
      <w:pPr>
        <w:pStyle w:val="ListeParagraf"/>
        <w:ind w:left="360" w:right="-1"/>
        <w:jc w:val="both"/>
      </w:pPr>
    </w:p>
    <w:p w14:paraId="6411FA5C" w14:textId="77777777" w:rsidR="007D27C9" w:rsidRPr="00C25829" w:rsidRDefault="007D27C9" w:rsidP="007D27C9">
      <w:pPr>
        <w:pStyle w:val="ListeParagraf"/>
        <w:ind w:left="360" w:right="-1"/>
        <w:rPr>
          <w:b/>
          <w:bCs/>
        </w:rPr>
      </w:pPr>
    </w:p>
    <w:p w14:paraId="20BE7A0F" w14:textId="77777777" w:rsidR="007D27C9" w:rsidRPr="00C25829" w:rsidRDefault="007D27C9" w:rsidP="007D27C9">
      <w:pPr>
        <w:pStyle w:val="ListeParagraf"/>
        <w:ind w:left="360" w:right="-1"/>
        <w:jc w:val="both"/>
      </w:pPr>
      <w:r w:rsidRPr="00C25829">
        <w:rPr>
          <w:b/>
          <w:bCs/>
        </w:rPr>
        <w:t>Tarım ve Orman Bakanlığı Ankara Doğa Koruma ve Milli Parklar Müdürlüğü’nün,</w:t>
      </w:r>
      <w:r w:rsidRPr="00C25829">
        <w:t xml:space="preserve"> 04.09.2025 tarih ve 20894001 sayılı yazısında </w:t>
      </w:r>
      <w:r w:rsidRPr="00C25829">
        <w:rPr>
          <w:i/>
          <w:iCs/>
        </w:rPr>
        <w:t xml:space="preserve">“…meri mevzuat hükümleri kapsamında ilgili kurumlarında uygun görüşlerinin alınması şartıyla imar planı yapılmasında sakınca bulunmadığı” </w:t>
      </w:r>
      <w:r w:rsidRPr="00C25829">
        <w:t>belirtildiği,</w:t>
      </w:r>
    </w:p>
    <w:p w14:paraId="465D54BC" w14:textId="77777777" w:rsidR="007D27C9" w:rsidRPr="00C25829" w:rsidRDefault="007D27C9" w:rsidP="007D27C9">
      <w:pPr>
        <w:pStyle w:val="ListeParagraf"/>
        <w:ind w:left="360" w:right="-1"/>
        <w:jc w:val="both"/>
      </w:pPr>
    </w:p>
    <w:p w14:paraId="05888E7C" w14:textId="77777777" w:rsidR="007D27C9" w:rsidRPr="00C25829" w:rsidRDefault="007D27C9" w:rsidP="007D27C9">
      <w:pPr>
        <w:pStyle w:val="ListeParagraf"/>
        <w:ind w:left="360" w:right="-1"/>
        <w:jc w:val="both"/>
      </w:pPr>
      <w:r w:rsidRPr="00C25829">
        <w:rPr>
          <w:b/>
          <w:bCs/>
        </w:rPr>
        <w:t>Ankara Valiliği Yatırım İzleme ve Koordinasyon Başkanlığı’nın,</w:t>
      </w:r>
      <w:r w:rsidRPr="00C25829">
        <w:t xml:space="preserve"> 05.09.2025 tarih ve 472802 sayılı yazısında </w:t>
      </w:r>
      <w:r w:rsidRPr="00C25829">
        <w:rPr>
          <w:i/>
          <w:iCs/>
        </w:rPr>
        <w:t xml:space="preserve">"Söz konusu parselde Başkanlığımızca verilmiş herhangi bir jeotermal kaynak ve doğal mineralli su ruhsatı bulunmamakta olup, 613 ada 1 </w:t>
      </w:r>
      <w:proofErr w:type="spellStart"/>
      <w:r w:rsidRPr="00C25829">
        <w:rPr>
          <w:i/>
          <w:iCs/>
        </w:rPr>
        <w:t>nolu</w:t>
      </w:r>
      <w:proofErr w:type="spellEnd"/>
      <w:r w:rsidRPr="00C25829">
        <w:rPr>
          <w:i/>
          <w:iCs/>
        </w:rPr>
        <w:t xml:space="preserve"> parsel üzerinde yapılacak imar planı çalışmaları hakkında Kurumumuz mevzuatı açısından bir sakınca bulunmamaktadır."</w:t>
      </w:r>
      <w:r w:rsidRPr="00C25829">
        <w:t xml:space="preserve"> denildiği,</w:t>
      </w:r>
    </w:p>
    <w:p w14:paraId="62CEEAE2" w14:textId="77777777" w:rsidR="007D27C9" w:rsidRPr="00C25829" w:rsidRDefault="007D27C9" w:rsidP="007D27C9">
      <w:pPr>
        <w:spacing w:line="276" w:lineRule="auto"/>
        <w:ind w:right="-1"/>
        <w:jc w:val="both"/>
        <w:rPr>
          <w:sz w:val="22"/>
          <w:szCs w:val="22"/>
        </w:rPr>
      </w:pPr>
    </w:p>
    <w:p w14:paraId="3715D703" w14:textId="77777777" w:rsidR="007D27C9" w:rsidRPr="00C25829" w:rsidRDefault="007D27C9" w:rsidP="007D27C9">
      <w:pPr>
        <w:pStyle w:val="ListeParagraf"/>
        <w:ind w:left="360" w:right="-1"/>
        <w:jc w:val="both"/>
      </w:pPr>
      <w:r w:rsidRPr="00C25829">
        <w:rPr>
          <w:b/>
          <w:bCs/>
        </w:rPr>
        <w:t>Başkent Doğalgaz Dağıtım Gayrimenkul Yatırım Ortaklığı A.Ş.’</w:t>
      </w:r>
      <w:proofErr w:type="spellStart"/>
      <w:r w:rsidRPr="00C25829">
        <w:rPr>
          <w:b/>
          <w:bCs/>
        </w:rPr>
        <w:t>nin</w:t>
      </w:r>
      <w:proofErr w:type="spellEnd"/>
      <w:r w:rsidRPr="00C25829">
        <w:rPr>
          <w:b/>
          <w:bCs/>
        </w:rPr>
        <w:t>,</w:t>
      </w:r>
      <w:r w:rsidRPr="00C25829">
        <w:t xml:space="preserve"> 08.09.2025 tarih E.135387 sayılı yazısında </w:t>
      </w:r>
      <w:r w:rsidRPr="00C25829">
        <w:rPr>
          <w:i/>
          <w:iCs/>
        </w:rPr>
        <w:t>"Söz konusu alanın kuzeyinde doğalgaz dağıtım hattı ve tesisi bulunduğu, bu nedenle imar planında korunması gerektiği”</w:t>
      </w:r>
      <w:r w:rsidRPr="00C25829">
        <w:t xml:space="preserve"> belirtildiği,</w:t>
      </w:r>
    </w:p>
    <w:p w14:paraId="5BE6720B" w14:textId="77777777" w:rsidR="007D27C9" w:rsidRPr="00C25829" w:rsidRDefault="007D27C9" w:rsidP="007D27C9">
      <w:pPr>
        <w:pStyle w:val="ListeParagraf"/>
        <w:ind w:left="360" w:right="-1"/>
        <w:jc w:val="both"/>
      </w:pPr>
    </w:p>
    <w:p w14:paraId="32B1F5AD" w14:textId="77777777" w:rsidR="007D27C9" w:rsidRPr="00C25829" w:rsidRDefault="007D27C9" w:rsidP="007D27C9">
      <w:pPr>
        <w:pStyle w:val="ListeParagraf"/>
        <w:ind w:left="360" w:right="-1"/>
        <w:jc w:val="both"/>
      </w:pPr>
      <w:r w:rsidRPr="00C25829">
        <w:rPr>
          <w:b/>
          <w:bCs/>
        </w:rPr>
        <w:t xml:space="preserve">Sanayi ve Teknoloji Bakanlığı Sanayi Bölgeleri Genel Müdürlüğü’nün, </w:t>
      </w:r>
      <w:r w:rsidRPr="00C25829">
        <w:t xml:space="preserve">08.09.2025 tarih ve 7217319 sayılı yazısında </w:t>
      </w:r>
      <w:r w:rsidRPr="00C25829">
        <w:rPr>
          <w:i/>
          <w:iCs/>
        </w:rPr>
        <w:t>“…herhangi bir organize sanayi bölgesi (OSB) ve Endüstri Bölgesi yer almadığı görüldüğünden, konunun kendi mevzuatı çerçevesinde değerlendirilmesinde Bakanlığımız görev ve yetkileri açısından bir sakınca bulunmamaktadır."</w:t>
      </w:r>
      <w:r w:rsidRPr="00C25829">
        <w:t xml:space="preserve"> denildiği,</w:t>
      </w:r>
    </w:p>
    <w:p w14:paraId="702AB3FA" w14:textId="77777777" w:rsidR="007D27C9" w:rsidRPr="00C25829" w:rsidRDefault="007D27C9" w:rsidP="007D27C9">
      <w:pPr>
        <w:pStyle w:val="ListeParagraf"/>
        <w:ind w:left="360" w:right="-1"/>
        <w:jc w:val="both"/>
      </w:pPr>
    </w:p>
    <w:p w14:paraId="31477EA0" w14:textId="77777777" w:rsidR="007D27C9" w:rsidRPr="00C25829" w:rsidRDefault="007D27C9" w:rsidP="007D27C9">
      <w:pPr>
        <w:pStyle w:val="ListeParagraf"/>
        <w:ind w:left="360" w:right="-1"/>
        <w:jc w:val="both"/>
      </w:pPr>
      <w:r w:rsidRPr="00C25829">
        <w:rPr>
          <w:b/>
          <w:bCs/>
        </w:rPr>
        <w:t xml:space="preserve">Ankara Valiliği Çevre Şehircilik ve İklim Değişikliği İl Müdürlüğü’nün, </w:t>
      </w:r>
      <w:r w:rsidRPr="00C25829">
        <w:t xml:space="preserve">08.09.2025 tarih 13477775 sayılı yazısında özetle </w:t>
      </w:r>
      <w:r w:rsidRPr="00C25829">
        <w:rPr>
          <w:i/>
          <w:iCs/>
        </w:rPr>
        <w:t>"söz konusu alanda 3194 sayılı imar kanunu ve ilgili yönetmelikleri ile meri mevzuat hükümleri kapsamında plan hiyerarşisine uygun şekilde üst ölçek plan ana kararları ve plan hükümleriyle uyumlu olacak şekilde ilgili tüm kurum ve kuruluşların uygun görüşleri doğrultusunda işlem yapılması gerektiği"</w:t>
      </w:r>
      <w:r w:rsidRPr="00C25829">
        <w:t xml:space="preserve"> belirtildiği,</w:t>
      </w:r>
    </w:p>
    <w:p w14:paraId="1ED17CE5" w14:textId="77777777" w:rsidR="007D27C9" w:rsidRPr="00C25829" w:rsidRDefault="007D27C9" w:rsidP="007D27C9">
      <w:pPr>
        <w:spacing w:line="276" w:lineRule="auto"/>
        <w:ind w:right="-1"/>
        <w:jc w:val="both"/>
        <w:rPr>
          <w:sz w:val="22"/>
          <w:szCs w:val="22"/>
        </w:rPr>
      </w:pPr>
    </w:p>
    <w:p w14:paraId="65B11C94" w14:textId="77777777" w:rsidR="007D27C9" w:rsidRPr="00C25829" w:rsidRDefault="007D27C9" w:rsidP="007D27C9">
      <w:pPr>
        <w:pStyle w:val="ListeParagraf"/>
        <w:ind w:left="360" w:right="-1"/>
        <w:jc w:val="both"/>
      </w:pPr>
      <w:r w:rsidRPr="00C25829">
        <w:rPr>
          <w:b/>
          <w:bCs/>
        </w:rPr>
        <w:t>Enerji ve Tabii Kaynaklar Bakanlığı Maden Tetkik ve Arama Genel Müdürlüğü’nün</w:t>
      </w:r>
      <w:r w:rsidRPr="00C25829">
        <w:t xml:space="preserve"> 12.09.2025 tarih ve 553978 sayılı yazısında </w:t>
      </w:r>
      <w:r w:rsidRPr="00C25829">
        <w:rPr>
          <w:i/>
          <w:iCs/>
        </w:rPr>
        <w:t xml:space="preserve">"…Genel müdürlüğümüz envanter kayıtlarına göre Ankara İli, Sincan İlçesi, Temelli </w:t>
      </w:r>
      <w:proofErr w:type="spellStart"/>
      <w:r w:rsidRPr="00C25829">
        <w:rPr>
          <w:i/>
          <w:iCs/>
        </w:rPr>
        <w:t>Malıköy</w:t>
      </w:r>
      <w:proofErr w:type="spellEnd"/>
      <w:r w:rsidRPr="00C25829">
        <w:rPr>
          <w:i/>
          <w:iCs/>
        </w:rPr>
        <w:t xml:space="preserve"> Mahallesi 1241 ada 4 parsel numaralı taşınmazımız bulunmaktadır. Söz konusu imar planı çalışmalarında taşınmaz sınırlarımızın dikkate alınıp kısıtlayıcı veya engelleyici herhangi bir durum oluşturmaması ve belirtilen alan çerçevesinde Kurumumuzun bundan sonra yapabileceği olası çalışmalara ilişkin hakları saklı kalmak kaydıyla söz konusu alanda kurumumuz çalışmaları açısından engel teşkil edecek herhangi bir husus bulunmamaktadır”</w:t>
      </w:r>
      <w:r w:rsidRPr="00C25829">
        <w:t xml:space="preserve"> denildiği,</w:t>
      </w:r>
    </w:p>
    <w:p w14:paraId="56A24D3B" w14:textId="77777777" w:rsidR="007D27C9" w:rsidRPr="00C25829" w:rsidRDefault="007D27C9" w:rsidP="007D27C9">
      <w:pPr>
        <w:spacing w:line="276" w:lineRule="auto"/>
        <w:ind w:right="-1"/>
        <w:jc w:val="both"/>
        <w:rPr>
          <w:sz w:val="22"/>
          <w:szCs w:val="22"/>
        </w:rPr>
      </w:pPr>
    </w:p>
    <w:p w14:paraId="2B79A6C1" w14:textId="77777777" w:rsidR="007D27C9" w:rsidRPr="00C25829" w:rsidRDefault="007D27C9" w:rsidP="007D27C9">
      <w:pPr>
        <w:pStyle w:val="ListeParagraf"/>
        <w:ind w:left="360" w:right="-1"/>
        <w:jc w:val="both"/>
      </w:pPr>
      <w:r w:rsidRPr="00C25829">
        <w:rPr>
          <w:b/>
          <w:bCs/>
        </w:rPr>
        <w:t>Başkent Elektrik Dağıtım A.Ş.’</w:t>
      </w:r>
      <w:proofErr w:type="spellStart"/>
      <w:r w:rsidRPr="00C25829">
        <w:rPr>
          <w:b/>
          <w:bCs/>
        </w:rPr>
        <w:t>nin</w:t>
      </w:r>
      <w:proofErr w:type="spellEnd"/>
      <w:r w:rsidRPr="00C25829">
        <w:rPr>
          <w:b/>
          <w:bCs/>
        </w:rPr>
        <w:t>,</w:t>
      </w:r>
      <w:r w:rsidRPr="00C25829">
        <w:t xml:space="preserve"> 18.09.2025 tarih E.716399 sayılı yazısında </w:t>
      </w:r>
      <w:r w:rsidRPr="00C25829">
        <w:rPr>
          <w:i/>
          <w:iCs/>
        </w:rPr>
        <w:t>"…hâlihazırda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 olup yapılacak çalışmalarda Elektrik Kuvvetli Akım Tesisleri Yönetmeliği'nde belirtilen yatay ve düşey emniyet mesafelerine (*) riayet edilmesi gerektiğini bilgilerinize sunarız."</w:t>
      </w:r>
      <w:r w:rsidRPr="00C25829">
        <w:t xml:space="preserve"> belirtildiği,</w:t>
      </w:r>
    </w:p>
    <w:p w14:paraId="74FEF72D" w14:textId="77777777" w:rsidR="007D27C9" w:rsidRPr="00C25829" w:rsidRDefault="007D27C9" w:rsidP="007D27C9">
      <w:pPr>
        <w:spacing w:line="276" w:lineRule="auto"/>
        <w:ind w:right="-1"/>
        <w:jc w:val="both"/>
        <w:rPr>
          <w:i/>
          <w:iCs/>
          <w:sz w:val="22"/>
          <w:szCs w:val="22"/>
        </w:rPr>
      </w:pPr>
    </w:p>
    <w:p w14:paraId="745D7AF9" w14:textId="77777777" w:rsidR="007D27C9" w:rsidRPr="00C25829" w:rsidRDefault="007D27C9" w:rsidP="007D27C9">
      <w:pPr>
        <w:pStyle w:val="ListeParagraf"/>
        <w:ind w:left="360" w:right="-1"/>
        <w:jc w:val="both"/>
      </w:pPr>
      <w:r w:rsidRPr="00C25829">
        <w:rPr>
          <w:b/>
          <w:bCs/>
        </w:rPr>
        <w:t xml:space="preserve">Ankara Valiliği Başkent Milli Emlak Daire Başkanlığı’nın, </w:t>
      </w:r>
      <w:r w:rsidRPr="00C25829">
        <w:t>26.09.2025 tarih</w:t>
      </w:r>
      <w:r w:rsidRPr="00C25829">
        <w:rPr>
          <w:b/>
          <w:bCs/>
        </w:rPr>
        <w:t xml:space="preserve"> </w:t>
      </w:r>
      <w:r w:rsidRPr="00C25829">
        <w:t xml:space="preserve">13635597 sayılı yazısında </w:t>
      </w:r>
      <w:r w:rsidRPr="00C25829">
        <w:rPr>
          <w:i/>
          <w:iCs/>
        </w:rPr>
        <w:t>"Taşınmaz mülkiyetinin hazineye ait olmadığı anlaşılmış olup plan değişikliğinin planlama ilkeleri ve hazine açısından sakıncası bulunmadığı"</w:t>
      </w:r>
      <w:r w:rsidRPr="00C25829">
        <w:t xml:space="preserve"> denildiği,</w:t>
      </w:r>
    </w:p>
    <w:p w14:paraId="41438596" w14:textId="77777777" w:rsidR="007D27C9" w:rsidRPr="00C25829" w:rsidRDefault="007D27C9" w:rsidP="007D27C9">
      <w:pPr>
        <w:pStyle w:val="ListeParagraf"/>
        <w:ind w:left="360" w:right="-1"/>
      </w:pPr>
    </w:p>
    <w:p w14:paraId="5668B152" w14:textId="77777777" w:rsidR="007D27C9" w:rsidRPr="00C25829" w:rsidRDefault="007D27C9" w:rsidP="007D27C9">
      <w:pPr>
        <w:pStyle w:val="ListeParagraf"/>
        <w:ind w:left="360" w:right="-1"/>
        <w:jc w:val="both"/>
      </w:pPr>
      <w:r w:rsidRPr="00C25829">
        <w:rPr>
          <w:b/>
          <w:bCs/>
        </w:rPr>
        <w:t xml:space="preserve">Tarım ve Orman Bakanlığı DSİ 5. Bölge Müdürlüğü’nün, </w:t>
      </w:r>
      <w:r w:rsidRPr="00C25829">
        <w:t>24.09.2025 tarih 66335826 sayılı yazısında yapılan incelemede</w:t>
      </w:r>
      <w:r w:rsidRPr="00C25829">
        <w:rPr>
          <w:i/>
          <w:iCs/>
        </w:rPr>
        <w:t xml:space="preserve"> "…1/1000 ölçekli uygulama imar planı yapılması hususu Kuruluşumuzca uygun değerlendirilmektedir” </w:t>
      </w:r>
      <w:r w:rsidRPr="00C25829">
        <w:t>şeklinde belirtildiği,</w:t>
      </w:r>
    </w:p>
    <w:p w14:paraId="09676ADD" w14:textId="77777777" w:rsidR="007D27C9" w:rsidRPr="00C25829" w:rsidRDefault="007D27C9" w:rsidP="007D27C9">
      <w:pPr>
        <w:pStyle w:val="ListeParagraf"/>
        <w:ind w:left="360" w:right="-1"/>
        <w:jc w:val="both"/>
      </w:pPr>
    </w:p>
    <w:p w14:paraId="5F7B4C1E" w14:textId="77777777" w:rsidR="007D27C9" w:rsidRPr="00C25829" w:rsidRDefault="007D27C9" w:rsidP="007D27C9">
      <w:pPr>
        <w:pStyle w:val="ListeParagraf"/>
        <w:ind w:left="360" w:right="-1"/>
        <w:jc w:val="both"/>
      </w:pPr>
      <w:r w:rsidRPr="00C25829">
        <w:rPr>
          <w:b/>
          <w:bCs/>
        </w:rPr>
        <w:t>Ankara Büyükşehir Belediyesi ASKİ’nin</w:t>
      </w:r>
      <w:r w:rsidRPr="00C25829">
        <w:t xml:space="preserve">, 09.10.2025 tarih 904940 sayılı yazısında </w:t>
      </w:r>
      <w:r w:rsidRPr="00C25829">
        <w:rPr>
          <w:i/>
          <w:iCs/>
        </w:rPr>
        <w:t>“Söz konusu alanda mevcut hatlarımız bulunmakta olup, sayısalları yazımız ekinde gönderilmektedir. Planlama esnasında mevcutlarımızın korunması”</w:t>
      </w:r>
      <w:r w:rsidRPr="00C25829">
        <w:t xml:space="preserve"> gerektiği belirtildiği,</w:t>
      </w:r>
    </w:p>
    <w:p w14:paraId="1823FEB5" w14:textId="77777777" w:rsidR="007D27C9" w:rsidRPr="00C25829" w:rsidRDefault="007D27C9" w:rsidP="007D27C9">
      <w:pPr>
        <w:pStyle w:val="ListeParagraf"/>
        <w:ind w:left="360" w:right="-1"/>
        <w:jc w:val="both"/>
      </w:pPr>
    </w:p>
    <w:p w14:paraId="37EF1722" w14:textId="77777777" w:rsidR="007D27C9" w:rsidRPr="00C25829" w:rsidRDefault="007D27C9" w:rsidP="007D27C9">
      <w:pPr>
        <w:pStyle w:val="ListeParagraf"/>
        <w:ind w:left="360" w:right="-1"/>
        <w:jc w:val="both"/>
      </w:pPr>
      <w:r w:rsidRPr="00C25829">
        <w:rPr>
          <w:b/>
          <w:bCs/>
        </w:rPr>
        <w:t xml:space="preserve">Ankara Büyükşehir Belediyesi İmar ve Şehircilik Dairesi’nin, </w:t>
      </w:r>
      <w:r w:rsidRPr="00C25829">
        <w:t>17.10.2025 tarih</w:t>
      </w:r>
      <w:r w:rsidRPr="00C25829">
        <w:rPr>
          <w:b/>
          <w:bCs/>
        </w:rPr>
        <w:t xml:space="preserve"> </w:t>
      </w:r>
      <w:r w:rsidRPr="00C25829">
        <w:t xml:space="preserve">1939432 sayılı yazısında </w:t>
      </w:r>
      <w:r w:rsidRPr="00C25829">
        <w:rPr>
          <w:i/>
          <w:iCs/>
        </w:rPr>
        <w:t xml:space="preserve">"… imar mevzuatında ve konuya özel diğer mevzuatlarda gerekli kılınan tüm bilgi, belge, tüm gerekli kurum/kuruluş görüşleri, imar planına esas onaylı jeolojik etüt, lisans ve izinler vb. hususlar doğrultusunda yapılacak analiz-sentez çalışmaları sonucu, Şehircilik İlkeleri ve Planlama esasları doğrultusunda, 3194 sayılı İmar Kanunu ile </w:t>
      </w:r>
      <w:proofErr w:type="spellStart"/>
      <w:r w:rsidRPr="00C25829">
        <w:rPr>
          <w:i/>
          <w:iCs/>
        </w:rPr>
        <w:t>Mekansal</w:t>
      </w:r>
      <w:proofErr w:type="spellEnd"/>
      <w:r w:rsidRPr="00C25829">
        <w:rPr>
          <w:i/>
          <w:iCs/>
        </w:rPr>
        <w:t xml:space="preserve"> Planlar Yapım Yönetmeliği ve diğer ilgili tüm mevzuat hükümleri çerçevesinde mevzuata ve üst ölçek planlara uygun olarak hazırlanacak imar planlarının Sincan Belediye Meclisi kararına bağlanarak Başkanlığımıza sunulması halinde konunun incelenerek bir karar alınmak üzere Belediye Meclisimize iletilebileceği görüş ve kanaatine varılmıştır."</w:t>
      </w:r>
      <w:r w:rsidRPr="00C25829">
        <w:t xml:space="preserve"> denildiği,</w:t>
      </w:r>
    </w:p>
    <w:p w14:paraId="6A5741B9" w14:textId="77777777" w:rsidR="007D27C9" w:rsidRPr="00C25829" w:rsidRDefault="007D27C9" w:rsidP="007D27C9">
      <w:pPr>
        <w:pStyle w:val="ListeParagraf"/>
        <w:ind w:left="360" w:right="-1"/>
        <w:jc w:val="both"/>
      </w:pPr>
    </w:p>
    <w:p w14:paraId="30815643" w14:textId="77777777" w:rsidR="007D27C9" w:rsidRPr="00C25829" w:rsidRDefault="007D27C9" w:rsidP="007D27C9">
      <w:pPr>
        <w:pStyle w:val="ListeParagraf"/>
        <w:ind w:left="360" w:right="-1"/>
        <w:jc w:val="both"/>
      </w:pPr>
      <w:r w:rsidRPr="00C25829">
        <w:rPr>
          <w:b/>
          <w:bCs/>
        </w:rPr>
        <w:t>Ankara Valiliği İl Afet ve Acil Durum Müdürlüğü’nün</w:t>
      </w:r>
      <w:r w:rsidRPr="00C25829">
        <w:t xml:space="preserve">, 21.10.2025 tarih 1519767 sayılı yazısında </w:t>
      </w:r>
      <w:r w:rsidRPr="00C25829">
        <w:rPr>
          <w:i/>
          <w:iCs/>
        </w:rPr>
        <w:t>"… 7269 sayılı kanun kapsamında kurumumuz adına herhangi bir tahsis işlemi yer almamakta olup ayrıca belirtilen alanla ilgili olarak Afete Maruz Bölge kararı bulunmamaktadır."</w:t>
      </w:r>
      <w:r w:rsidRPr="00C25829">
        <w:t xml:space="preserve"> denildiği,</w:t>
      </w:r>
    </w:p>
    <w:p w14:paraId="6CD70C13" w14:textId="77777777" w:rsidR="007D27C9" w:rsidRPr="00C25829" w:rsidRDefault="007D27C9" w:rsidP="007D27C9">
      <w:pPr>
        <w:pStyle w:val="ListeParagraf"/>
        <w:ind w:left="360" w:right="-1"/>
        <w:jc w:val="both"/>
      </w:pPr>
      <w:proofErr w:type="gramStart"/>
      <w:r w:rsidRPr="00C25829">
        <w:rPr>
          <w:b/>
          <w:bCs/>
        </w:rPr>
        <w:t>Milli</w:t>
      </w:r>
      <w:proofErr w:type="gramEnd"/>
      <w:r w:rsidRPr="00C25829">
        <w:rPr>
          <w:b/>
          <w:bCs/>
        </w:rPr>
        <w:t xml:space="preserve"> Savunma Bakanlığı Lojistik Genel Müdürlüğü Ankara İnşaat Emlak Bölge Başkanlığı’nın </w:t>
      </w:r>
      <w:r w:rsidRPr="00C25829">
        <w:t>18.11.2025 tarih</w:t>
      </w:r>
      <w:r w:rsidRPr="00C25829">
        <w:rPr>
          <w:b/>
          <w:bCs/>
        </w:rPr>
        <w:t xml:space="preserve"> </w:t>
      </w:r>
      <w:r w:rsidRPr="00C25829">
        <w:t xml:space="preserve">5460654 sayılı yazısında </w:t>
      </w:r>
      <w:r w:rsidRPr="00C25829">
        <w:rPr>
          <w:i/>
          <w:iCs/>
        </w:rPr>
        <w:t>“Söz konusu bölgede planlama/proje alanı içerisinde Bakanlığımız sorumluluğunda askeri alan, ANT Akaryakıt Boru hattı, mania planı, askeri yasak bölge ve askeri güvenlik bölgesi bulunmadığı”</w:t>
      </w:r>
      <w:r w:rsidRPr="00C25829">
        <w:t xml:space="preserve"> belirtildiği,</w:t>
      </w:r>
    </w:p>
    <w:p w14:paraId="10F7168A" w14:textId="77777777" w:rsidR="007D27C9" w:rsidRPr="00C25829" w:rsidRDefault="007D27C9" w:rsidP="007D27C9">
      <w:pPr>
        <w:pStyle w:val="ListeParagraf"/>
        <w:ind w:left="360" w:right="-1"/>
        <w:jc w:val="both"/>
      </w:pPr>
    </w:p>
    <w:p w14:paraId="72285351" w14:textId="77777777" w:rsidR="007D27C9" w:rsidRPr="00C25829" w:rsidRDefault="007D27C9" w:rsidP="007D27C9">
      <w:pPr>
        <w:pStyle w:val="ListeParagraf"/>
        <w:ind w:left="360" w:right="-1"/>
        <w:jc w:val="both"/>
      </w:pPr>
      <w:r w:rsidRPr="00C25829">
        <w:rPr>
          <w:b/>
          <w:bCs/>
        </w:rPr>
        <w:t>Ankara Valiliği İl Sağlık Müdürlüğü’nün</w:t>
      </w:r>
      <w:r w:rsidRPr="00C25829">
        <w:t xml:space="preserve">, 07.01.2026 tarih 300603957 sayılı yazısında </w:t>
      </w:r>
      <w:r w:rsidRPr="00C25829">
        <w:rPr>
          <w:i/>
          <w:iCs/>
        </w:rPr>
        <w:t>“…paydaş kurum ve kuruluşların olumlu görüşlerinin alınması Kurumumuzca herhangi bir sakınca bulunmadığı”</w:t>
      </w:r>
      <w:r w:rsidRPr="00C25829">
        <w:t xml:space="preserve"> belirtildiği,</w:t>
      </w:r>
    </w:p>
    <w:p w14:paraId="10114A8E" w14:textId="77777777" w:rsidR="007D27C9" w:rsidRPr="00C25829" w:rsidRDefault="007D27C9" w:rsidP="007D27C9">
      <w:pPr>
        <w:pStyle w:val="ListeParagraf"/>
        <w:ind w:left="360" w:right="-1"/>
        <w:jc w:val="both"/>
      </w:pPr>
    </w:p>
    <w:p w14:paraId="0265F472" w14:textId="4CC0040E" w:rsidR="007D27C9" w:rsidRPr="00C25829" w:rsidRDefault="007D27C9" w:rsidP="007D27C9">
      <w:pPr>
        <w:pStyle w:val="ListeParagraf"/>
        <w:ind w:left="360" w:right="-1"/>
        <w:jc w:val="both"/>
      </w:pPr>
      <w:r w:rsidRPr="00C25829">
        <w:rPr>
          <w:b/>
          <w:bCs/>
        </w:rPr>
        <w:t>Devlet Hava Meydanları İşletmesi Genel Müdürlüğü’nün</w:t>
      </w:r>
      <w:r w:rsidRPr="00C25829">
        <w:t xml:space="preserve">, 85518 sayılı yazısında </w:t>
      </w:r>
      <w:r w:rsidRPr="00C25829">
        <w:rPr>
          <w:i/>
          <w:iCs/>
        </w:rPr>
        <w:t xml:space="preserve">“Söz konusu parseldeki yapıların yüksekliklerinin, arazi zemin seviyesinden itibaren maksimum 30 metreyi aşmaması kaydıyla Genel Müdürlüğümüzce tasarlanarak Ülkemiz </w:t>
      </w:r>
      <w:proofErr w:type="spellStart"/>
      <w:r w:rsidRPr="00C25829">
        <w:rPr>
          <w:i/>
          <w:iCs/>
        </w:rPr>
        <w:t>AIP'sinde</w:t>
      </w:r>
      <w:proofErr w:type="spellEnd"/>
      <w:r w:rsidRPr="00C25829">
        <w:rPr>
          <w:i/>
          <w:iCs/>
        </w:rPr>
        <w:t xml:space="preserve"> yayımlanmış aletli uçuş usullerinin </w:t>
      </w:r>
      <w:proofErr w:type="spellStart"/>
      <w:r w:rsidRPr="00C25829">
        <w:rPr>
          <w:i/>
          <w:iCs/>
        </w:rPr>
        <w:t>minimaları</w:t>
      </w:r>
      <w:proofErr w:type="spellEnd"/>
      <w:r w:rsidRPr="00C25829">
        <w:rPr>
          <w:i/>
          <w:iCs/>
        </w:rPr>
        <w:t xml:space="preserve"> ile Kuruluşumuz sorumluluğunda bulunan CNS Elektronik Sistemler açısından olumsuz etkisinin olmayacağı öngörülmektedir. Arazi zemin seviyesinden itibaren 30 metreyi aşacak planlama yapılması halinde, WGS84 formatındaki koordinatlar, arazi kotu ve talep edilen maksimum yapı yüksekliği bilgilerinin (anten, çatı, baca </w:t>
      </w:r>
      <w:proofErr w:type="spellStart"/>
      <w:r w:rsidRPr="00C25829">
        <w:rPr>
          <w:i/>
          <w:iCs/>
        </w:rPr>
        <w:t>vb</w:t>
      </w:r>
      <w:proofErr w:type="spellEnd"/>
      <w:r w:rsidRPr="00C25829">
        <w:rPr>
          <w:i/>
          <w:iCs/>
        </w:rPr>
        <w:t xml:space="preserve"> her türlü müştemilat dahil) Kuruluşumuza bildirilmesi suretiyle tekrar görüş alınması gerektiği”</w:t>
      </w:r>
      <w:r w:rsidRPr="00C25829">
        <w:t xml:space="preserve"> değerlendirildiği,</w:t>
      </w:r>
    </w:p>
    <w:p w14:paraId="1C5F5823" w14:textId="77777777" w:rsidR="007D27C9" w:rsidRPr="00C25829" w:rsidRDefault="007D27C9" w:rsidP="007D27C9">
      <w:pPr>
        <w:pStyle w:val="ListeParagraf"/>
        <w:ind w:left="360" w:right="-1"/>
        <w:jc w:val="both"/>
      </w:pPr>
    </w:p>
    <w:p w14:paraId="10C4FC54" w14:textId="28920BA9" w:rsidR="007D27C9" w:rsidRDefault="007D27C9" w:rsidP="007D27C9">
      <w:pPr>
        <w:pStyle w:val="ListeParagraf"/>
        <w:ind w:left="360" w:right="-1"/>
        <w:jc w:val="both"/>
      </w:pPr>
      <w:r w:rsidRPr="00C25829">
        <w:rPr>
          <w:b/>
          <w:bCs/>
        </w:rPr>
        <w:t>Devlet Hava Meydanları İşletmesi Genel Müdürlüğü’nün</w:t>
      </w:r>
      <w:r w:rsidRPr="00C25829">
        <w:t xml:space="preserve">, 4978 sayılı yazısında </w:t>
      </w:r>
      <w:r w:rsidRPr="00C25829">
        <w:rPr>
          <w:i/>
          <w:iCs/>
        </w:rPr>
        <w:t xml:space="preserve">“…en üst noktasının arazi zemin seviyesinden yüksekliği 51,50 metre olacağı belirtilen yapılaşmanın, Genel Müdürlüğümüzce tasarlanarak Türkiye </w:t>
      </w:r>
      <w:proofErr w:type="spellStart"/>
      <w:r w:rsidRPr="00C25829">
        <w:rPr>
          <w:i/>
          <w:iCs/>
        </w:rPr>
        <w:t>AIP'sinde</w:t>
      </w:r>
      <w:proofErr w:type="spellEnd"/>
      <w:r w:rsidRPr="00C25829">
        <w:rPr>
          <w:i/>
          <w:iCs/>
        </w:rPr>
        <w:t xml:space="preserve"> ilan edilen aletli uçuş usullerinin minimumları ve Minimum Radar Vektör İrtifaı değerleri ile Kuruluşumuz sorumluluğunda bulunan CNS Elektronik Sistemler açısından olumsuz etkisinin olmayacağı </w:t>
      </w:r>
      <w:proofErr w:type="spellStart"/>
      <w:r w:rsidRPr="00C25829">
        <w:rPr>
          <w:i/>
          <w:iCs/>
        </w:rPr>
        <w:t>öngörülmektedir</w:t>
      </w:r>
      <w:proofErr w:type="gramStart"/>
      <w:r w:rsidRPr="00C25829">
        <w:rPr>
          <w:i/>
          <w:iCs/>
        </w:rPr>
        <w:t>.”</w:t>
      </w:r>
      <w:r w:rsidRPr="00C25829">
        <w:t>denildiği</w:t>
      </w:r>
      <w:proofErr w:type="spellEnd"/>
      <w:proofErr w:type="gramEnd"/>
      <w:r w:rsidRPr="00C25829">
        <w:t>,</w:t>
      </w:r>
    </w:p>
    <w:p w14:paraId="05D61AB4" w14:textId="77777777" w:rsidR="007D27C9" w:rsidRPr="00C25829" w:rsidRDefault="007D27C9" w:rsidP="007D27C9">
      <w:pPr>
        <w:pStyle w:val="ListeParagraf"/>
        <w:ind w:left="360" w:right="-1"/>
        <w:jc w:val="both"/>
      </w:pPr>
    </w:p>
    <w:p w14:paraId="7010E32D" w14:textId="77777777" w:rsidR="007D27C9" w:rsidRPr="00C25829" w:rsidRDefault="007D27C9" w:rsidP="007D27C9">
      <w:pPr>
        <w:pStyle w:val="ListeParagraf"/>
        <w:ind w:left="360" w:right="-1"/>
        <w:rPr>
          <w:i/>
          <w:iCs/>
        </w:rPr>
      </w:pPr>
    </w:p>
    <w:p w14:paraId="52E82C2F" w14:textId="77777777" w:rsidR="007D27C9" w:rsidRPr="00C25829" w:rsidRDefault="007D27C9" w:rsidP="007D27C9">
      <w:pPr>
        <w:pStyle w:val="ListeParagraf"/>
        <w:ind w:left="360" w:right="-1"/>
        <w:jc w:val="both"/>
      </w:pPr>
      <w:r w:rsidRPr="00C25829">
        <w:rPr>
          <w:b/>
          <w:bCs/>
        </w:rPr>
        <w:t xml:space="preserve">Enerji ve Tabii Kaynaklar Bakanlığı Elektrik Üretim Anonim Şirketi Genel Müdürlüğü’nün, </w:t>
      </w:r>
      <w:r w:rsidRPr="00C25829">
        <w:t xml:space="preserve">1405412 sayılı yazısında </w:t>
      </w:r>
      <w:r w:rsidRPr="00C25829">
        <w:rPr>
          <w:i/>
          <w:iCs/>
        </w:rPr>
        <w:t>"Söz konusu parselde herhangi bir tesisimiz plan ya da projemiz olmadığından görüşümüz bulunmamaktadır"</w:t>
      </w:r>
      <w:r w:rsidRPr="00C25829">
        <w:t xml:space="preserve"> denildiği,</w:t>
      </w:r>
    </w:p>
    <w:p w14:paraId="2FF3E436" w14:textId="77777777" w:rsidR="007D27C9" w:rsidRPr="00C25829" w:rsidRDefault="007D27C9" w:rsidP="007D27C9">
      <w:pPr>
        <w:pStyle w:val="ListeParagraf"/>
        <w:ind w:left="360" w:right="-1"/>
        <w:jc w:val="both"/>
      </w:pPr>
    </w:p>
    <w:p w14:paraId="3A86BCFD" w14:textId="77777777" w:rsidR="007D27C9" w:rsidRPr="00C25829" w:rsidRDefault="007D27C9" w:rsidP="007D27C9">
      <w:pPr>
        <w:pStyle w:val="ListeParagraf"/>
        <w:ind w:left="360" w:right="-1"/>
        <w:jc w:val="both"/>
      </w:pPr>
      <w:r w:rsidRPr="00C25829">
        <w:rPr>
          <w:b/>
          <w:bCs/>
        </w:rPr>
        <w:t>Ulaştırma ve Altyapı Bakanlığı Karayolları Genel Müdürlüğü 4. Bölge Müdürlüğü’nün</w:t>
      </w:r>
      <w:r w:rsidRPr="00C25829">
        <w:t xml:space="preserve">, 1916590 sayılı yazısında </w:t>
      </w:r>
      <w:r w:rsidRPr="00C25829">
        <w:rPr>
          <w:i/>
          <w:iCs/>
        </w:rPr>
        <w:t xml:space="preserve">“…(200-11) </w:t>
      </w:r>
      <w:proofErr w:type="spellStart"/>
      <w:r w:rsidRPr="00C25829">
        <w:rPr>
          <w:i/>
          <w:iCs/>
        </w:rPr>
        <w:t>KKNo'lu</w:t>
      </w:r>
      <w:proofErr w:type="spellEnd"/>
      <w:r w:rsidRPr="00C25829">
        <w:rPr>
          <w:i/>
          <w:iCs/>
        </w:rPr>
        <w:t xml:space="preserve"> mevcut Ankara - Polatlı Sivrihisar Yolu güzergahının yola cepheli mülkiyet sınırı kamulaştırma sınırında olduğu, Söz konusu yolun mevcut proje ve kamulaştırma sınırının korunması, Kamulaştırma sınırının Mekânsal Planlar Yapım Yönetmeliğine uygun olarak İmar Planında ve Plan Lejant bölümünde gösterilmesi, ilgili mevzuat hükümlerine uyulması, Plan Notlarına ve Plan Açıklama Raporuna; “Karayolları Trafik Kanunu ve Karayolları Kenarında Yapılacak ve Açılacak Tesisler Hakkında Yönetmelik Hükümlerine Uyulacaktır.” İbarenin eklenmesi, onaylanmaya esas taslak İmar Planlarının meclis onayına sunulmadan önce Bölge Müdürlüğümüzden yeniden görüş alınması”</w:t>
      </w:r>
      <w:r w:rsidRPr="00C25829">
        <w:t xml:space="preserve"> </w:t>
      </w:r>
      <w:r w:rsidRPr="00C25829">
        <w:rPr>
          <w:i/>
          <w:iCs/>
        </w:rPr>
        <w:t>gerektiği</w:t>
      </w:r>
      <w:r w:rsidRPr="00C25829">
        <w:t xml:space="preserve"> belirtildiği,</w:t>
      </w:r>
    </w:p>
    <w:p w14:paraId="5E0D19CA" w14:textId="77777777" w:rsidR="007D27C9" w:rsidRPr="00C25829" w:rsidRDefault="007D27C9" w:rsidP="007D27C9">
      <w:pPr>
        <w:spacing w:line="276" w:lineRule="auto"/>
        <w:ind w:right="-1"/>
        <w:jc w:val="both"/>
        <w:rPr>
          <w:sz w:val="22"/>
          <w:szCs w:val="22"/>
        </w:rPr>
      </w:pPr>
    </w:p>
    <w:p w14:paraId="37A33918" w14:textId="77777777" w:rsidR="007D27C9" w:rsidRPr="00C25829" w:rsidRDefault="007D27C9" w:rsidP="007D27C9">
      <w:pPr>
        <w:pStyle w:val="ListeParagraf"/>
        <w:ind w:left="360" w:right="-1"/>
        <w:jc w:val="both"/>
      </w:pPr>
      <w:r w:rsidRPr="00C25829">
        <w:rPr>
          <w:b/>
          <w:bCs/>
        </w:rPr>
        <w:t xml:space="preserve">Ulaştırma ve Altyapı Bakanlığı Sivil Havacılık Genel Müdürlüğü’nün, </w:t>
      </w:r>
      <w:r w:rsidRPr="00C25829">
        <w:t xml:space="preserve">108101 sayılı yazısında </w:t>
      </w:r>
      <w:r w:rsidRPr="00C25829">
        <w:rPr>
          <w:i/>
          <w:iCs/>
        </w:rPr>
        <w:t xml:space="preserve">“Bahse konu alanın sivil hava ulaşımına açık havaalanlarının mania planları sınırları dışında kaldığı tespit </w:t>
      </w:r>
      <w:proofErr w:type="gramStart"/>
      <w:r w:rsidRPr="00C25829">
        <w:rPr>
          <w:i/>
          <w:iCs/>
        </w:rPr>
        <w:t xml:space="preserve">edildiği” </w:t>
      </w:r>
      <w:r w:rsidRPr="00C25829">
        <w:t xml:space="preserve"> belirtildiği</w:t>
      </w:r>
      <w:proofErr w:type="gramEnd"/>
      <w:r w:rsidRPr="00C25829">
        <w:t xml:space="preserve">, </w:t>
      </w:r>
    </w:p>
    <w:p w14:paraId="0BD217FA" w14:textId="77777777" w:rsidR="007D27C9" w:rsidRPr="00C25829" w:rsidRDefault="007D27C9" w:rsidP="007D27C9">
      <w:pPr>
        <w:pStyle w:val="ListeParagraf"/>
        <w:ind w:left="360" w:right="-1"/>
        <w:jc w:val="both"/>
      </w:pPr>
    </w:p>
    <w:p w14:paraId="15EE8586" w14:textId="77777777" w:rsidR="007D27C9" w:rsidRPr="00C25829" w:rsidRDefault="007D27C9" w:rsidP="007D27C9">
      <w:pPr>
        <w:pStyle w:val="ListeParagraf"/>
        <w:ind w:left="360" w:right="-1"/>
        <w:jc w:val="both"/>
      </w:pPr>
      <w:r w:rsidRPr="00C25829">
        <w:rPr>
          <w:b/>
          <w:bCs/>
        </w:rPr>
        <w:t xml:space="preserve">Devlet Demiryolları İşletmesi Genel Müdürlüğü Emlak Dairesi Başkanlığı’nın, </w:t>
      </w:r>
      <w:r w:rsidRPr="00C25829">
        <w:t xml:space="preserve">1361713 sayılı yazısında </w:t>
      </w:r>
      <w:r w:rsidRPr="00C25829">
        <w:rPr>
          <w:i/>
          <w:iCs/>
        </w:rPr>
        <w:t>"…Teşekkülümüz ilgili birimleri tarafından gerekli incelemeler yapılmakta olup, tamamlanmasına müteakip Teşekkülümüz görüşü Ankara 2. Bölge Müdürlüğümüz tarafından tarafınıza bildirilecektir”</w:t>
      </w:r>
      <w:r w:rsidRPr="00C25829">
        <w:t xml:space="preserve"> denildiği,</w:t>
      </w:r>
    </w:p>
    <w:p w14:paraId="7A8525E4" w14:textId="77777777" w:rsidR="007D27C9" w:rsidRPr="00C25829" w:rsidRDefault="007D27C9" w:rsidP="007D27C9">
      <w:pPr>
        <w:pStyle w:val="ListeParagraf"/>
        <w:ind w:left="360" w:right="-1"/>
        <w:jc w:val="both"/>
      </w:pPr>
    </w:p>
    <w:p w14:paraId="610B8F37" w14:textId="77777777" w:rsidR="007D27C9" w:rsidRPr="00C25829" w:rsidRDefault="007D27C9" w:rsidP="007D27C9">
      <w:pPr>
        <w:pStyle w:val="ListeParagraf"/>
        <w:ind w:left="360" w:right="-1"/>
        <w:jc w:val="both"/>
      </w:pPr>
      <w:r w:rsidRPr="00C25829">
        <w:rPr>
          <w:b/>
          <w:bCs/>
        </w:rPr>
        <w:t xml:space="preserve">Devlet Demiryolları İşletmesi Genel Müdürlüğü TCDD 2. Bölge Müdürlüğü Emlak Servis Müdürlüğü’nün, </w:t>
      </w:r>
      <w:r w:rsidRPr="00C25829">
        <w:t xml:space="preserve">1373084 sayılı yazısında </w:t>
      </w:r>
      <w:r w:rsidRPr="00C25829">
        <w:rPr>
          <w:i/>
          <w:iCs/>
        </w:rPr>
        <w:t>"Görüş istenilen alana isabet eden herhangi bir projemiz bulunmamakta”</w:t>
      </w:r>
      <w:r w:rsidRPr="00C25829">
        <w:t xml:space="preserve"> denildiği,</w:t>
      </w:r>
    </w:p>
    <w:p w14:paraId="138226B2" w14:textId="77777777" w:rsidR="007D27C9" w:rsidRPr="00C25829" w:rsidRDefault="007D27C9" w:rsidP="007D27C9">
      <w:pPr>
        <w:spacing w:line="276" w:lineRule="auto"/>
        <w:ind w:right="-1"/>
        <w:jc w:val="both"/>
        <w:rPr>
          <w:sz w:val="22"/>
          <w:szCs w:val="22"/>
        </w:rPr>
      </w:pPr>
    </w:p>
    <w:p w14:paraId="03133BDB" w14:textId="77777777" w:rsidR="007D27C9" w:rsidRPr="00C25829" w:rsidRDefault="007D27C9" w:rsidP="007D27C9">
      <w:pPr>
        <w:pStyle w:val="ListeParagraf"/>
        <w:ind w:left="360" w:right="-1"/>
        <w:jc w:val="both"/>
        <w:rPr>
          <w:i/>
          <w:iCs/>
        </w:rPr>
      </w:pPr>
      <w:r w:rsidRPr="00C25829">
        <w:rPr>
          <w:b/>
          <w:bCs/>
        </w:rPr>
        <w:t>Çevre, Şehircilik ve İklim Değişikliği Bakanlığı Tabiat Varlıklarını Koruma Genel Müdürlüğü’nün</w:t>
      </w:r>
      <w:r w:rsidRPr="00C25829">
        <w:t xml:space="preserve">, 13714346 sayılı yazısında; </w:t>
      </w:r>
      <w:r w:rsidRPr="00C25829">
        <w:rPr>
          <w:i/>
          <w:iCs/>
        </w:rPr>
        <w:t xml:space="preserve">“… herhangi bir Özel Çevre Koruma Bölgesi kapsamında kalmadığı, Planlama alanı sınırlarının; milli park, tabiat parkı, sulak alan vb. koruma alanlarında kalıp kalmadığına dair bilgi ve görüşün Tarım ve Orman Bakanlığı 9. Bölge Müdürlüğünden tabiat varlığı ya da doğal sit statüsü olan alanları içerip içermediğine dair bilginin Ankara Valiliği'nden (Çevre, Şehircilik ve İklim Değişikliği İl Müdürlüğü) alınması gerektiği” </w:t>
      </w:r>
      <w:r w:rsidRPr="00C25829">
        <w:t>belirtildiği,</w:t>
      </w:r>
    </w:p>
    <w:p w14:paraId="13EBF516" w14:textId="77777777" w:rsidR="007D27C9" w:rsidRPr="00C25829" w:rsidRDefault="007D27C9" w:rsidP="007D27C9">
      <w:pPr>
        <w:pStyle w:val="ListeParagraf"/>
        <w:ind w:left="360" w:right="-1"/>
        <w:jc w:val="both"/>
      </w:pPr>
    </w:p>
    <w:p w14:paraId="5E260D22" w14:textId="77777777" w:rsidR="007D27C9" w:rsidRPr="00C25829" w:rsidRDefault="007D27C9" w:rsidP="007D27C9">
      <w:pPr>
        <w:pStyle w:val="ListeParagraf"/>
        <w:ind w:left="360" w:right="-1"/>
        <w:jc w:val="both"/>
      </w:pPr>
      <w:r w:rsidRPr="00C25829">
        <w:rPr>
          <w:b/>
          <w:bCs/>
        </w:rPr>
        <w:t>Kültür ve Turizm Bakanlığı Yatırım İşletmeler Genel Müdürlüğü’nün</w:t>
      </w:r>
      <w:r w:rsidRPr="00C25829">
        <w:t xml:space="preserve">, 7404647 sayılı yazısında </w:t>
      </w:r>
      <w:r w:rsidRPr="00C25829">
        <w:rPr>
          <w:i/>
          <w:iCs/>
        </w:rPr>
        <w:t>“Söz konusu taşınmaz, 2634 sayılı Turizmi Teşvik Kanunu uyarınca ilan edilmiş herhangi bir kültür ve turizm koruma ve gelişim bölgesi veya turizm merkezi sınırları içerisinde kalmamakta olup anılan alanda Genel Müdürlüğümüzce yürütülen bir çalışma bulunmamaktadır”</w:t>
      </w:r>
      <w:r w:rsidRPr="00C25829">
        <w:t xml:space="preserve"> denildiği, </w:t>
      </w:r>
    </w:p>
    <w:p w14:paraId="74D2AE69" w14:textId="01CB29BC" w:rsidR="007D27C9" w:rsidRDefault="007D27C9" w:rsidP="007D27C9">
      <w:pPr>
        <w:spacing w:line="276" w:lineRule="auto"/>
        <w:ind w:right="-1"/>
        <w:jc w:val="both"/>
        <w:rPr>
          <w:sz w:val="22"/>
          <w:szCs w:val="22"/>
        </w:rPr>
      </w:pPr>
    </w:p>
    <w:p w14:paraId="6A0CC991" w14:textId="079DA955" w:rsidR="007D27C9" w:rsidRDefault="007D27C9" w:rsidP="007D27C9">
      <w:pPr>
        <w:spacing w:line="276" w:lineRule="auto"/>
        <w:ind w:right="-1"/>
        <w:jc w:val="both"/>
        <w:rPr>
          <w:sz w:val="22"/>
          <w:szCs w:val="22"/>
        </w:rPr>
      </w:pPr>
    </w:p>
    <w:p w14:paraId="4675CA57" w14:textId="2FE048BE" w:rsidR="007D27C9" w:rsidRDefault="007D27C9" w:rsidP="007D27C9">
      <w:pPr>
        <w:spacing w:line="276" w:lineRule="auto"/>
        <w:ind w:right="-1"/>
        <w:jc w:val="both"/>
        <w:rPr>
          <w:sz w:val="22"/>
          <w:szCs w:val="22"/>
        </w:rPr>
      </w:pPr>
    </w:p>
    <w:p w14:paraId="4A537265" w14:textId="7E587091" w:rsidR="007D27C9" w:rsidRDefault="007D27C9" w:rsidP="007D27C9">
      <w:pPr>
        <w:spacing w:line="276" w:lineRule="auto"/>
        <w:ind w:right="-1"/>
        <w:jc w:val="both"/>
        <w:rPr>
          <w:sz w:val="22"/>
          <w:szCs w:val="22"/>
        </w:rPr>
      </w:pPr>
    </w:p>
    <w:p w14:paraId="21E36FC0" w14:textId="2D42E301" w:rsidR="007D27C9" w:rsidRDefault="007D27C9" w:rsidP="007D27C9">
      <w:pPr>
        <w:spacing w:line="276" w:lineRule="auto"/>
        <w:ind w:right="-1"/>
        <w:jc w:val="both"/>
        <w:rPr>
          <w:sz w:val="22"/>
          <w:szCs w:val="22"/>
        </w:rPr>
      </w:pPr>
    </w:p>
    <w:p w14:paraId="7A0B776D" w14:textId="24F1772D" w:rsidR="007D27C9" w:rsidRDefault="007D27C9" w:rsidP="007D27C9">
      <w:pPr>
        <w:spacing w:line="276" w:lineRule="auto"/>
        <w:ind w:right="-1"/>
        <w:jc w:val="both"/>
        <w:rPr>
          <w:sz w:val="22"/>
          <w:szCs w:val="22"/>
        </w:rPr>
      </w:pPr>
    </w:p>
    <w:p w14:paraId="5E75C673" w14:textId="77777777" w:rsidR="007D27C9" w:rsidRPr="00C25829" w:rsidRDefault="007D27C9" w:rsidP="007D27C9">
      <w:pPr>
        <w:spacing w:line="276" w:lineRule="auto"/>
        <w:ind w:right="-1"/>
        <w:jc w:val="both"/>
        <w:rPr>
          <w:sz w:val="22"/>
          <w:szCs w:val="22"/>
        </w:rPr>
      </w:pPr>
    </w:p>
    <w:p w14:paraId="5179E2E9" w14:textId="77777777" w:rsidR="007D27C9" w:rsidRPr="00C25829" w:rsidRDefault="007D27C9" w:rsidP="007D27C9">
      <w:pPr>
        <w:pStyle w:val="ListeParagraf"/>
        <w:ind w:left="360" w:right="-1"/>
        <w:jc w:val="both"/>
        <w:rPr>
          <w:b/>
          <w:bCs/>
        </w:rPr>
      </w:pPr>
      <w:r w:rsidRPr="00C25829">
        <w:rPr>
          <w:b/>
          <w:bCs/>
        </w:rPr>
        <w:t>Sunulan İmar Planı ile;</w:t>
      </w:r>
    </w:p>
    <w:p w14:paraId="4C02ECB8" w14:textId="77777777" w:rsidR="007D27C9" w:rsidRPr="00C25829" w:rsidRDefault="007D27C9" w:rsidP="007D27C9">
      <w:pPr>
        <w:pStyle w:val="ListeParagraf"/>
        <w:ind w:left="360" w:right="-1"/>
        <w:jc w:val="both"/>
        <w:rPr>
          <w:b/>
          <w:bCs/>
        </w:rPr>
      </w:pPr>
    </w:p>
    <w:p w14:paraId="27403426" w14:textId="77777777" w:rsidR="007D27C9" w:rsidRPr="00C25829" w:rsidRDefault="007D27C9" w:rsidP="007D27C9">
      <w:pPr>
        <w:pStyle w:val="ListeParagraf"/>
        <w:numPr>
          <w:ilvl w:val="0"/>
          <w:numId w:val="24"/>
        </w:numPr>
        <w:spacing w:line="276" w:lineRule="auto"/>
        <w:ind w:right="-1"/>
        <w:contextualSpacing/>
        <w:jc w:val="both"/>
      </w:pPr>
      <w:r w:rsidRPr="00C25829">
        <w:t>Konut Alanı, Ticaret Alanı ve Park Alanı kullanımlarının bulunduğu,</w:t>
      </w:r>
    </w:p>
    <w:p w14:paraId="651D5F75" w14:textId="77777777" w:rsidR="007D27C9" w:rsidRPr="00C25829" w:rsidRDefault="007D27C9" w:rsidP="007D27C9">
      <w:pPr>
        <w:pStyle w:val="ListeParagraf"/>
        <w:numPr>
          <w:ilvl w:val="0"/>
          <w:numId w:val="24"/>
        </w:numPr>
        <w:spacing w:line="276" w:lineRule="auto"/>
        <w:ind w:right="-1"/>
        <w:contextualSpacing/>
        <w:jc w:val="both"/>
      </w:pPr>
      <w:r w:rsidRPr="00C25829">
        <w:t>Kentsel servis alanı kullanımının yürürlükteki planlama mevzuatında karşılığının bulunmaması nedeniyle, güncel yönetmelik hükümlerine uygun olarak söz konusu taşınmazın içerisinde Ticaret Alanı kullanımı önerildiği,</w:t>
      </w:r>
    </w:p>
    <w:p w14:paraId="32E3FA8C" w14:textId="77777777" w:rsidR="007D27C9" w:rsidRPr="00C25829" w:rsidRDefault="007D27C9" w:rsidP="007D27C9">
      <w:pPr>
        <w:numPr>
          <w:ilvl w:val="0"/>
          <w:numId w:val="24"/>
        </w:numPr>
        <w:ind w:right="-1"/>
        <w:jc w:val="both"/>
        <w:rPr>
          <w:sz w:val="22"/>
          <w:szCs w:val="22"/>
        </w:rPr>
      </w:pPr>
      <w:r w:rsidRPr="00C25829">
        <w:rPr>
          <w:sz w:val="22"/>
          <w:szCs w:val="22"/>
        </w:rPr>
        <w:t>Yapılaşma koşullarının 1/5.000 ölçekli nazım imar planı ve plan notları hükümleri dikkate alınarak belirlendiği,</w:t>
      </w:r>
    </w:p>
    <w:p w14:paraId="6F0FAE0A" w14:textId="77777777" w:rsidR="007D27C9" w:rsidRPr="00C25829" w:rsidRDefault="007D27C9" w:rsidP="007D27C9">
      <w:pPr>
        <w:pStyle w:val="ListeParagraf"/>
        <w:numPr>
          <w:ilvl w:val="0"/>
          <w:numId w:val="24"/>
        </w:numPr>
        <w:spacing w:line="276" w:lineRule="auto"/>
        <w:ind w:right="-1"/>
        <w:contextualSpacing/>
        <w:jc w:val="both"/>
      </w:pPr>
      <w:r w:rsidRPr="00C25829">
        <w:t xml:space="preserve">Konut Alanında, E: 1.25 </w:t>
      </w:r>
      <w:proofErr w:type="spellStart"/>
      <w:r w:rsidRPr="00C25829">
        <w:t>Yençok</w:t>
      </w:r>
      <w:proofErr w:type="spellEnd"/>
      <w:r w:rsidRPr="00C25829">
        <w:t>: 16 Kat olarak belirlendiği,</w:t>
      </w:r>
    </w:p>
    <w:p w14:paraId="4794A606" w14:textId="77777777" w:rsidR="007D27C9" w:rsidRPr="00C25829" w:rsidRDefault="007D27C9" w:rsidP="007D27C9">
      <w:pPr>
        <w:pStyle w:val="ListeParagraf"/>
        <w:numPr>
          <w:ilvl w:val="0"/>
          <w:numId w:val="24"/>
        </w:numPr>
        <w:spacing w:line="276" w:lineRule="auto"/>
        <w:ind w:right="-1"/>
        <w:contextualSpacing/>
        <w:jc w:val="both"/>
      </w:pPr>
      <w:r w:rsidRPr="00C25829">
        <w:t>Kentsel servis Alanı kullanımları için onaylı nazım imar planında E:</w:t>
      </w:r>
      <w:proofErr w:type="gramStart"/>
      <w:r w:rsidRPr="00C25829">
        <w:t>1.50</w:t>
      </w:r>
      <w:proofErr w:type="gramEnd"/>
      <w:r w:rsidRPr="00C25829">
        <w:t xml:space="preserve"> olarak belirlendiği, bu kapsamda </w:t>
      </w:r>
      <w:proofErr w:type="spellStart"/>
      <w:r w:rsidRPr="00C25829">
        <w:t>Mekansal</w:t>
      </w:r>
      <w:proofErr w:type="spellEnd"/>
      <w:r w:rsidRPr="00C25829">
        <w:t xml:space="preserve"> Planlar Yapım Yönetmeliği gösterimlerine uygun olması amacıyla Ticaret </w:t>
      </w:r>
      <w:proofErr w:type="spellStart"/>
      <w:r w:rsidRPr="00C25829">
        <w:t>aolarak</w:t>
      </w:r>
      <w:proofErr w:type="spellEnd"/>
      <w:r w:rsidRPr="00C25829">
        <w:t xml:space="preserve"> önerilen kullanıma, nazım imar planından gelen E.1.50 ve </w:t>
      </w:r>
      <w:proofErr w:type="spellStart"/>
      <w:r w:rsidRPr="00C25829">
        <w:t>Yençok</w:t>
      </w:r>
      <w:proofErr w:type="spellEnd"/>
      <w:r w:rsidRPr="00C25829">
        <w:t>: 5 Kat olarak belirlendiği,</w:t>
      </w:r>
    </w:p>
    <w:p w14:paraId="2CB21FB4" w14:textId="77777777" w:rsidR="007D27C9" w:rsidRPr="00C25829" w:rsidRDefault="007D27C9" w:rsidP="007D27C9">
      <w:pPr>
        <w:numPr>
          <w:ilvl w:val="0"/>
          <w:numId w:val="24"/>
        </w:numPr>
        <w:ind w:right="-1"/>
        <w:jc w:val="both"/>
        <w:rPr>
          <w:color w:val="000000"/>
          <w:sz w:val="22"/>
          <w:szCs w:val="22"/>
        </w:rPr>
      </w:pPr>
      <w:r w:rsidRPr="00C25829">
        <w:rPr>
          <w:color w:val="000000"/>
          <w:sz w:val="22"/>
          <w:szCs w:val="22"/>
        </w:rPr>
        <w:t>Planlama alanı içerisinde 15, 10, 7 metrelik taşıt yolları bulunduğu,</w:t>
      </w:r>
    </w:p>
    <w:p w14:paraId="487708F8" w14:textId="77777777" w:rsidR="007D27C9" w:rsidRPr="00C25829" w:rsidRDefault="007D27C9" w:rsidP="007D27C9">
      <w:pPr>
        <w:pStyle w:val="ListeParagraf"/>
        <w:numPr>
          <w:ilvl w:val="0"/>
          <w:numId w:val="24"/>
        </w:numPr>
        <w:spacing w:after="160" w:line="259" w:lineRule="auto"/>
        <w:contextualSpacing/>
        <w:jc w:val="both"/>
      </w:pPr>
      <w:r w:rsidRPr="00C25829">
        <w:t xml:space="preserve">Sosyal donatıların </w:t>
      </w:r>
      <w:proofErr w:type="spellStart"/>
      <w:r w:rsidRPr="00C25829">
        <w:t>Mekansal</w:t>
      </w:r>
      <w:proofErr w:type="spellEnd"/>
      <w:r w:rsidRPr="00C25829">
        <w:t xml:space="preserve"> Planlar Yapım Yönetmeliği’nde belirtilen kişi başı ayrılması gereken standartları sağladığı,</w:t>
      </w:r>
    </w:p>
    <w:p w14:paraId="199FDE00" w14:textId="77777777" w:rsidR="007D27C9" w:rsidRPr="00C25829" w:rsidRDefault="007D27C9" w:rsidP="007D27C9">
      <w:pPr>
        <w:pStyle w:val="ListeParagraf"/>
        <w:numPr>
          <w:ilvl w:val="0"/>
          <w:numId w:val="24"/>
        </w:numPr>
        <w:spacing w:after="160" w:line="259" w:lineRule="auto"/>
        <w:contextualSpacing/>
        <w:jc w:val="both"/>
      </w:pPr>
      <w:r w:rsidRPr="00C25829">
        <w:t>Öneri imar planı ile oluşan yoğunluk kararları, yapılaşma şartları ve plan notları doğrultusunda (ortalama hane halkı büyüklüğü 3.17 kabulü ile) 333 kişilik öneri nüfus getirildiği,</w:t>
      </w:r>
    </w:p>
    <w:p w14:paraId="2514598D" w14:textId="77777777" w:rsidR="007D27C9" w:rsidRPr="00C25829" w:rsidRDefault="007D27C9" w:rsidP="007D27C9">
      <w:pPr>
        <w:pStyle w:val="ListeParagraf"/>
        <w:numPr>
          <w:ilvl w:val="0"/>
          <w:numId w:val="24"/>
        </w:numPr>
        <w:spacing w:after="160" w:line="259" w:lineRule="auto"/>
        <w:contextualSpacing/>
        <w:jc w:val="both"/>
      </w:pPr>
      <w:r w:rsidRPr="00C25829">
        <w:t xml:space="preserve">28104 m² alanda brüt nüfus yoğunluğunun 120 </w:t>
      </w:r>
      <w:proofErr w:type="spellStart"/>
      <w:r w:rsidRPr="00C25829">
        <w:t>hişi</w:t>
      </w:r>
      <w:proofErr w:type="spellEnd"/>
      <w:r w:rsidRPr="00C25829">
        <w:t xml:space="preserve">/ha üzerinden 337 kişi olarak hesaplandığı, öneri plan ile getirilmesi planlanan nüfusun </w:t>
      </w:r>
      <w:r w:rsidRPr="00C25829">
        <w:rPr>
          <w:b/>
        </w:rPr>
        <w:t>üst ölçekten gelen brüt nüfus hesabını aşmadığı,</w:t>
      </w:r>
    </w:p>
    <w:p w14:paraId="18BC4EDE" w14:textId="77777777" w:rsidR="007D27C9" w:rsidRPr="00C25829" w:rsidRDefault="007D27C9" w:rsidP="007D27C9">
      <w:pPr>
        <w:pStyle w:val="ListeParagraf"/>
        <w:numPr>
          <w:ilvl w:val="0"/>
          <w:numId w:val="24"/>
        </w:numPr>
        <w:spacing w:after="160" w:line="259" w:lineRule="auto"/>
        <w:contextualSpacing/>
        <w:jc w:val="both"/>
      </w:pPr>
      <w:r w:rsidRPr="00C25829">
        <w:t>1/5000 ölçekli Nazım İmar Planında “Gelişme konut alanlarında brüt nüfus yoğunluğu 120 kişi/ha, inşaat emsali E:1.25………Konut sayısı parsel için hesap edilen inşaat alanının 175’e bölünmesi ile hesap edilecektir…..” şeklinde hüküm bulunduğu, ancak brüt nüfus yoğunluğu hesabı ile konut sayısının hesabının birbiri ile uyuşmadığı, üst ölçek planda da brüt nüfus yoğunluk hesabının da verilmiş olmasından dolayı, nüfus yoğunluğu üzerinden gidilerek ortalama daire büyüklüğünün 100 m² olarak belirlendiği,</w:t>
      </w:r>
    </w:p>
    <w:p w14:paraId="0B2A498F" w14:textId="674B0018" w:rsidR="007D27C9" w:rsidRDefault="007D27C9" w:rsidP="007D27C9">
      <w:pPr>
        <w:pStyle w:val="ListeParagraf"/>
        <w:numPr>
          <w:ilvl w:val="0"/>
          <w:numId w:val="24"/>
        </w:numPr>
        <w:spacing w:line="276" w:lineRule="auto"/>
        <w:ind w:right="-1"/>
        <w:contextualSpacing/>
        <w:jc w:val="both"/>
      </w:pPr>
      <w:r w:rsidRPr="00C25829">
        <w:t>Planlama alanına ilişkin alan dağılımının aşağıdaki tabloda gösterildiği,</w:t>
      </w:r>
    </w:p>
    <w:p w14:paraId="434F7C26" w14:textId="77777777" w:rsidR="007D27C9" w:rsidRPr="00C25829" w:rsidRDefault="007D27C9" w:rsidP="007D27C9">
      <w:pPr>
        <w:pStyle w:val="ListeParagraf"/>
        <w:spacing w:line="276" w:lineRule="auto"/>
        <w:ind w:left="360" w:right="-1"/>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420"/>
        <w:gridCol w:w="1150"/>
        <w:gridCol w:w="652"/>
        <w:gridCol w:w="653"/>
        <w:gridCol w:w="1041"/>
      </w:tblGrid>
      <w:tr w:rsidR="007D27C9" w:rsidRPr="00C25829" w14:paraId="02F9A565" w14:textId="77777777" w:rsidTr="002C4CF6">
        <w:trPr>
          <w:trHeight w:val="477"/>
          <w:jc w:val="center"/>
        </w:trPr>
        <w:tc>
          <w:tcPr>
            <w:tcW w:w="5234" w:type="dxa"/>
            <w:gridSpan w:val="2"/>
            <w:shd w:val="clear" w:color="auto" w:fill="DEEAF6"/>
            <w:noWrap/>
            <w:vAlign w:val="center"/>
            <w:hideMark/>
          </w:tcPr>
          <w:p w14:paraId="70549B2F"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PLAN TEKLİFİNE YÖNELİK KARARLAR</w:t>
            </w:r>
          </w:p>
        </w:tc>
        <w:tc>
          <w:tcPr>
            <w:tcW w:w="2455" w:type="dxa"/>
            <w:gridSpan w:val="3"/>
            <w:shd w:val="clear" w:color="auto" w:fill="DEEAF6"/>
            <w:noWrap/>
            <w:vAlign w:val="center"/>
            <w:hideMark/>
          </w:tcPr>
          <w:p w14:paraId="78D248AA"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Öneri Plan</w:t>
            </w:r>
          </w:p>
        </w:tc>
        <w:tc>
          <w:tcPr>
            <w:tcW w:w="892" w:type="dxa"/>
            <w:shd w:val="clear" w:color="auto" w:fill="DEEAF6"/>
            <w:vAlign w:val="center"/>
            <w:hideMark/>
          </w:tcPr>
          <w:p w14:paraId="363AA5DB" w14:textId="77777777" w:rsidR="007D27C9" w:rsidRPr="00C25829" w:rsidRDefault="007D27C9" w:rsidP="002C4CF6">
            <w:pPr>
              <w:spacing w:line="276" w:lineRule="auto"/>
              <w:ind w:right="-1"/>
              <w:jc w:val="center"/>
              <w:rPr>
                <w:rFonts w:eastAsia="Calibri"/>
                <w:b/>
                <w:bCs/>
                <w:sz w:val="22"/>
                <w:szCs w:val="22"/>
              </w:rPr>
            </w:pPr>
          </w:p>
        </w:tc>
      </w:tr>
      <w:tr w:rsidR="007D27C9" w:rsidRPr="00C25829" w14:paraId="74826EFD" w14:textId="77777777" w:rsidTr="002C4CF6">
        <w:trPr>
          <w:trHeight w:val="891"/>
          <w:jc w:val="center"/>
        </w:trPr>
        <w:tc>
          <w:tcPr>
            <w:tcW w:w="2814" w:type="dxa"/>
            <w:shd w:val="clear" w:color="auto" w:fill="DEEAF6"/>
            <w:noWrap/>
            <w:vAlign w:val="center"/>
            <w:hideMark/>
          </w:tcPr>
          <w:p w14:paraId="3E4AB735"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PLAN KARARLARI</w:t>
            </w:r>
          </w:p>
        </w:tc>
        <w:tc>
          <w:tcPr>
            <w:tcW w:w="2420" w:type="dxa"/>
            <w:shd w:val="clear" w:color="auto" w:fill="DEEAF6"/>
            <w:noWrap/>
            <w:vAlign w:val="center"/>
            <w:hideMark/>
          </w:tcPr>
          <w:p w14:paraId="536349D7" w14:textId="77777777" w:rsidR="007D27C9" w:rsidRPr="00C25829" w:rsidRDefault="007D27C9" w:rsidP="002C4CF6">
            <w:pPr>
              <w:spacing w:line="276" w:lineRule="auto"/>
              <w:ind w:right="-1"/>
              <w:jc w:val="center"/>
              <w:rPr>
                <w:rFonts w:eastAsia="Calibri"/>
                <w:b/>
                <w:bCs/>
                <w:sz w:val="22"/>
                <w:szCs w:val="22"/>
              </w:rPr>
            </w:pPr>
          </w:p>
        </w:tc>
        <w:tc>
          <w:tcPr>
            <w:tcW w:w="1150" w:type="dxa"/>
            <w:shd w:val="clear" w:color="auto" w:fill="DEEAF6"/>
            <w:noWrap/>
            <w:vAlign w:val="center"/>
            <w:hideMark/>
          </w:tcPr>
          <w:p w14:paraId="2314A8EE"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Alan (m²)</w:t>
            </w:r>
          </w:p>
        </w:tc>
        <w:tc>
          <w:tcPr>
            <w:tcW w:w="1305" w:type="dxa"/>
            <w:gridSpan w:val="2"/>
            <w:shd w:val="clear" w:color="auto" w:fill="DEEAF6"/>
            <w:noWrap/>
            <w:vAlign w:val="center"/>
            <w:hideMark/>
          </w:tcPr>
          <w:p w14:paraId="6AA1748C"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Yüzde</w:t>
            </w:r>
          </w:p>
        </w:tc>
        <w:tc>
          <w:tcPr>
            <w:tcW w:w="892" w:type="dxa"/>
            <w:shd w:val="clear" w:color="auto" w:fill="DEEAF6"/>
            <w:noWrap/>
            <w:vAlign w:val="center"/>
            <w:hideMark/>
          </w:tcPr>
          <w:p w14:paraId="4F0100A4"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Alan (m²)</w:t>
            </w:r>
          </w:p>
        </w:tc>
      </w:tr>
      <w:tr w:rsidR="007D27C9" w:rsidRPr="00C25829" w14:paraId="5FDD085D" w14:textId="77777777" w:rsidTr="002C4CF6">
        <w:trPr>
          <w:trHeight w:val="342"/>
          <w:jc w:val="center"/>
        </w:trPr>
        <w:tc>
          <w:tcPr>
            <w:tcW w:w="2814" w:type="dxa"/>
            <w:shd w:val="clear" w:color="auto" w:fill="auto"/>
            <w:noWrap/>
            <w:vAlign w:val="center"/>
            <w:hideMark/>
          </w:tcPr>
          <w:p w14:paraId="4AE8D0D4"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SAĞLIK TESİSLERİ</w:t>
            </w:r>
          </w:p>
        </w:tc>
        <w:tc>
          <w:tcPr>
            <w:tcW w:w="2420" w:type="dxa"/>
            <w:shd w:val="clear" w:color="auto" w:fill="auto"/>
            <w:noWrap/>
            <w:vAlign w:val="center"/>
            <w:hideMark/>
          </w:tcPr>
          <w:p w14:paraId="60A024AA"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ASM</w:t>
            </w:r>
          </w:p>
        </w:tc>
        <w:tc>
          <w:tcPr>
            <w:tcW w:w="1150" w:type="dxa"/>
            <w:shd w:val="clear" w:color="auto" w:fill="auto"/>
            <w:noWrap/>
            <w:vAlign w:val="center"/>
            <w:hideMark/>
          </w:tcPr>
          <w:p w14:paraId="7AAB6AD1" w14:textId="77777777" w:rsidR="007D27C9" w:rsidRPr="00C25829" w:rsidRDefault="007D27C9" w:rsidP="002C4CF6">
            <w:pPr>
              <w:spacing w:line="276" w:lineRule="auto"/>
              <w:ind w:right="-1"/>
              <w:jc w:val="center"/>
              <w:rPr>
                <w:rFonts w:eastAsia="Calibri"/>
                <w:b/>
                <w:bCs/>
                <w:sz w:val="22"/>
                <w:szCs w:val="22"/>
              </w:rPr>
            </w:pPr>
          </w:p>
        </w:tc>
        <w:tc>
          <w:tcPr>
            <w:tcW w:w="652" w:type="dxa"/>
            <w:shd w:val="clear" w:color="auto" w:fill="auto"/>
            <w:noWrap/>
            <w:vAlign w:val="center"/>
            <w:hideMark/>
          </w:tcPr>
          <w:p w14:paraId="1D2DC4B2"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val="restart"/>
            <w:shd w:val="clear" w:color="auto" w:fill="auto"/>
            <w:noWrap/>
            <w:vAlign w:val="center"/>
            <w:hideMark/>
          </w:tcPr>
          <w:p w14:paraId="7FDFA25F"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44.6</w:t>
            </w:r>
          </w:p>
        </w:tc>
        <w:tc>
          <w:tcPr>
            <w:tcW w:w="892" w:type="dxa"/>
            <w:shd w:val="clear" w:color="auto" w:fill="auto"/>
            <w:noWrap/>
            <w:vAlign w:val="center"/>
            <w:hideMark/>
          </w:tcPr>
          <w:p w14:paraId="4165222E"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79A498CB" w14:textId="77777777" w:rsidTr="002C4CF6">
        <w:trPr>
          <w:trHeight w:val="559"/>
          <w:jc w:val="center"/>
        </w:trPr>
        <w:tc>
          <w:tcPr>
            <w:tcW w:w="2814" w:type="dxa"/>
            <w:shd w:val="clear" w:color="auto" w:fill="auto"/>
            <w:noWrap/>
            <w:vAlign w:val="center"/>
            <w:hideMark/>
          </w:tcPr>
          <w:p w14:paraId="3D96C6D4"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SOSYAL VE KÜLTÜREL TESİSLERİ</w:t>
            </w:r>
          </w:p>
        </w:tc>
        <w:tc>
          <w:tcPr>
            <w:tcW w:w="2420" w:type="dxa"/>
            <w:shd w:val="clear" w:color="auto" w:fill="auto"/>
            <w:noWrap/>
            <w:vAlign w:val="center"/>
            <w:hideMark/>
          </w:tcPr>
          <w:p w14:paraId="5C569432"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SKT</w:t>
            </w:r>
          </w:p>
        </w:tc>
        <w:tc>
          <w:tcPr>
            <w:tcW w:w="1150" w:type="dxa"/>
            <w:shd w:val="clear" w:color="auto" w:fill="auto"/>
            <w:noWrap/>
            <w:vAlign w:val="center"/>
            <w:hideMark/>
          </w:tcPr>
          <w:p w14:paraId="00803290" w14:textId="77777777" w:rsidR="007D27C9" w:rsidRPr="00C25829" w:rsidRDefault="007D27C9" w:rsidP="002C4CF6">
            <w:pPr>
              <w:spacing w:line="276" w:lineRule="auto"/>
              <w:ind w:right="-1"/>
              <w:jc w:val="center"/>
              <w:rPr>
                <w:rFonts w:eastAsia="Calibri"/>
                <w:b/>
                <w:bCs/>
                <w:sz w:val="22"/>
                <w:szCs w:val="22"/>
              </w:rPr>
            </w:pPr>
          </w:p>
        </w:tc>
        <w:tc>
          <w:tcPr>
            <w:tcW w:w="652" w:type="dxa"/>
            <w:shd w:val="clear" w:color="auto" w:fill="auto"/>
            <w:noWrap/>
            <w:vAlign w:val="center"/>
            <w:hideMark/>
          </w:tcPr>
          <w:p w14:paraId="51205D1B"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61A0C7BF"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701BE81D"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7489191E" w14:textId="77777777" w:rsidTr="002C4CF6">
        <w:trPr>
          <w:trHeight w:val="411"/>
          <w:jc w:val="center"/>
        </w:trPr>
        <w:tc>
          <w:tcPr>
            <w:tcW w:w="2814" w:type="dxa"/>
            <w:shd w:val="clear" w:color="auto" w:fill="auto"/>
            <w:noWrap/>
            <w:vAlign w:val="center"/>
            <w:hideMark/>
          </w:tcPr>
          <w:p w14:paraId="3A86921E"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İBADET YERLERİ</w:t>
            </w:r>
          </w:p>
        </w:tc>
        <w:tc>
          <w:tcPr>
            <w:tcW w:w="2420" w:type="dxa"/>
            <w:shd w:val="clear" w:color="auto" w:fill="auto"/>
            <w:noWrap/>
            <w:vAlign w:val="center"/>
            <w:hideMark/>
          </w:tcPr>
          <w:p w14:paraId="57A051CD"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CAMİ</w:t>
            </w:r>
          </w:p>
        </w:tc>
        <w:tc>
          <w:tcPr>
            <w:tcW w:w="1150" w:type="dxa"/>
            <w:shd w:val="clear" w:color="auto" w:fill="auto"/>
            <w:noWrap/>
            <w:vAlign w:val="center"/>
            <w:hideMark/>
          </w:tcPr>
          <w:p w14:paraId="3C6F1B8F" w14:textId="77777777" w:rsidR="007D27C9" w:rsidRPr="00C25829" w:rsidRDefault="007D27C9" w:rsidP="002C4CF6">
            <w:pPr>
              <w:spacing w:line="276" w:lineRule="auto"/>
              <w:ind w:right="-1"/>
              <w:jc w:val="center"/>
              <w:rPr>
                <w:rFonts w:eastAsia="Calibri"/>
                <w:b/>
                <w:bCs/>
                <w:sz w:val="22"/>
                <w:szCs w:val="22"/>
              </w:rPr>
            </w:pPr>
          </w:p>
        </w:tc>
        <w:tc>
          <w:tcPr>
            <w:tcW w:w="652" w:type="dxa"/>
            <w:shd w:val="clear" w:color="auto" w:fill="auto"/>
            <w:noWrap/>
            <w:vAlign w:val="center"/>
            <w:hideMark/>
          </w:tcPr>
          <w:p w14:paraId="0D8120FB"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2DDB0378"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4620D49B"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78D4ED6D" w14:textId="77777777" w:rsidTr="002C4CF6">
        <w:trPr>
          <w:trHeight w:val="180"/>
          <w:jc w:val="center"/>
        </w:trPr>
        <w:tc>
          <w:tcPr>
            <w:tcW w:w="2814" w:type="dxa"/>
            <w:vMerge w:val="restart"/>
            <w:shd w:val="clear" w:color="auto" w:fill="auto"/>
            <w:noWrap/>
            <w:vAlign w:val="center"/>
            <w:hideMark/>
          </w:tcPr>
          <w:p w14:paraId="4A9599CC"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EĞİTİM TESİSLERİ</w:t>
            </w:r>
          </w:p>
        </w:tc>
        <w:tc>
          <w:tcPr>
            <w:tcW w:w="2420" w:type="dxa"/>
            <w:shd w:val="clear" w:color="auto" w:fill="auto"/>
            <w:noWrap/>
            <w:vAlign w:val="center"/>
            <w:hideMark/>
          </w:tcPr>
          <w:p w14:paraId="6839F15C"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ANAOKUL</w:t>
            </w:r>
          </w:p>
        </w:tc>
        <w:tc>
          <w:tcPr>
            <w:tcW w:w="1150" w:type="dxa"/>
            <w:shd w:val="clear" w:color="auto" w:fill="auto"/>
            <w:noWrap/>
            <w:vAlign w:val="center"/>
            <w:hideMark/>
          </w:tcPr>
          <w:p w14:paraId="11ED56DA" w14:textId="77777777" w:rsidR="007D27C9" w:rsidRPr="00C25829" w:rsidRDefault="007D27C9" w:rsidP="002C4CF6">
            <w:pPr>
              <w:spacing w:line="276" w:lineRule="auto"/>
              <w:ind w:right="-1"/>
              <w:jc w:val="center"/>
              <w:rPr>
                <w:rFonts w:eastAsia="Calibri"/>
                <w:b/>
                <w:bCs/>
                <w:sz w:val="22"/>
                <w:szCs w:val="22"/>
              </w:rPr>
            </w:pPr>
          </w:p>
        </w:tc>
        <w:tc>
          <w:tcPr>
            <w:tcW w:w="652" w:type="dxa"/>
            <w:shd w:val="clear" w:color="auto" w:fill="auto"/>
            <w:noWrap/>
            <w:vAlign w:val="center"/>
            <w:hideMark/>
          </w:tcPr>
          <w:p w14:paraId="5929A968"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2E54EE2C"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0B41DD56"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390B2F56" w14:textId="77777777" w:rsidTr="002C4CF6">
        <w:trPr>
          <w:trHeight w:val="180"/>
          <w:jc w:val="center"/>
        </w:trPr>
        <w:tc>
          <w:tcPr>
            <w:tcW w:w="2814" w:type="dxa"/>
            <w:vMerge/>
            <w:shd w:val="clear" w:color="auto" w:fill="auto"/>
            <w:vAlign w:val="center"/>
            <w:hideMark/>
          </w:tcPr>
          <w:p w14:paraId="1BA56FDA" w14:textId="77777777" w:rsidR="007D27C9" w:rsidRPr="00C25829" w:rsidRDefault="007D27C9" w:rsidP="002C4CF6">
            <w:pPr>
              <w:spacing w:line="276" w:lineRule="auto"/>
              <w:ind w:right="-1"/>
              <w:jc w:val="center"/>
              <w:rPr>
                <w:rFonts w:eastAsia="Calibri"/>
                <w:b/>
                <w:bCs/>
                <w:sz w:val="22"/>
                <w:szCs w:val="22"/>
              </w:rPr>
            </w:pPr>
          </w:p>
        </w:tc>
        <w:tc>
          <w:tcPr>
            <w:tcW w:w="2420" w:type="dxa"/>
            <w:shd w:val="clear" w:color="auto" w:fill="auto"/>
            <w:noWrap/>
            <w:vAlign w:val="center"/>
            <w:hideMark/>
          </w:tcPr>
          <w:p w14:paraId="34C0BE69"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İLKOKUL</w:t>
            </w:r>
          </w:p>
        </w:tc>
        <w:tc>
          <w:tcPr>
            <w:tcW w:w="1150" w:type="dxa"/>
            <w:shd w:val="clear" w:color="auto" w:fill="auto"/>
            <w:noWrap/>
            <w:vAlign w:val="center"/>
            <w:hideMark/>
          </w:tcPr>
          <w:p w14:paraId="61558F2B" w14:textId="77777777" w:rsidR="007D27C9" w:rsidRPr="00C25829" w:rsidRDefault="007D27C9" w:rsidP="002C4CF6">
            <w:pPr>
              <w:spacing w:line="276" w:lineRule="auto"/>
              <w:ind w:right="-1"/>
              <w:jc w:val="center"/>
              <w:rPr>
                <w:rFonts w:eastAsia="Calibri"/>
                <w:sz w:val="22"/>
                <w:szCs w:val="22"/>
              </w:rPr>
            </w:pPr>
          </w:p>
        </w:tc>
        <w:tc>
          <w:tcPr>
            <w:tcW w:w="652" w:type="dxa"/>
            <w:shd w:val="clear" w:color="auto" w:fill="auto"/>
            <w:noWrap/>
            <w:vAlign w:val="center"/>
            <w:hideMark/>
          </w:tcPr>
          <w:p w14:paraId="2A625A56"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1A30566F"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4B7094D9"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50B4C40A" w14:textId="77777777" w:rsidTr="002C4CF6">
        <w:trPr>
          <w:trHeight w:val="180"/>
          <w:jc w:val="center"/>
        </w:trPr>
        <w:tc>
          <w:tcPr>
            <w:tcW w:w="2814" w:type="dxa"/>
            <w:vMerge/>
            <w:shd w:val="clear" w:color="auto" w:fill="auto"/>
            <w:vAlign w:val="center"/>
            <w:hideMark/>
          </w:tcPr>
          <w:p w14:paraId="7D23BC4C" w14:textId="77777777" w:rsidR="007D27C9" w:rsidRPr="00C25829" w:rsidRDefault="007D27C9" w:rsidP="002C4CF6">
            <w:pPr>
              <w:spacing w:line="276" w:lineRule="auto"/>
              <w:ind w:right="-1"/>
              <w:jc w:val="center"/>
              <w:rPr>
                <w:rFonts w:eastAsia="Calibri"/>
                <w:b/>
                <w:bCs/>
                <w:sz w:val="22"/>
                <w:szCs w:val="22"/>
              </w:rPr>
            </w:pPr>
          </w:p>
        </w:tc>
        <w:tc>
          <w:tcPr>
            <w:tcW w:w="2420" w:type="dxa"/>
            <w:shd w:val="clear" w:color="auto" w:fill="auto"/>
            <w:noWrap/>
            <w:vAlign w:val="center"/>
            <w:hideMark/>
          </w:tcPr>
          <w:p w14:paraId="5EFBA971"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ORTAOKUL</w:t>
            </w:r>
          </w:p>
        </w:tc>
        <w:tc>
          <w:tcPr>
            <w:tcW w:w="1150" w:type="dxa"/>
            <w:shd w:val="clear" w:color="auto" w:fill="auto"/>
            <w:noWrap/>
            <w:vAlign w:val="center"/>
            <w:hideMark/>
          </w:tcPr>
          <w:p w14:paraId="77A03B60" w14:textId="77777777" w:rsidR="007D27C9" w:rsidRPr="00C25829" w:rsidRDefault="007D27C9" w:rsidP="002C4CF6">
            <w:pPr>
              <w:spacing w:line="276" w:lineRule="auto"/>
              <w:ind w:right="-1"/>
              <w:jc w:val="center"/>
              <w:rPr>
                <w:rFonts w:eastAsia="Calibri"/>
                <w:b/>
                <w:bCs/>
                <w:sz w:val="22"/>
                <w:szCs w:val="22"/>
              </w:rPr>
            </w:pPr>
          </w:p>
        </w:tc>
        <w:tc>
          <w:tcPr>
            <w:tcW w:w="652" w:type="dxa"/>
            <w:shd w:val="clear" w:color="auto" w:fill="auto"/>
            <w:noWrap/>
            <w:vAlign w:val="center"/>
            <w:hideMark/>
          </w:tcPr>
          <w:p w14:paraId="5912BE38"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3F185D5C"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24C2654B"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7E34E75C" w14:textId="77777777" w:rsidTr="002C4CF6">
        <w:trPr>
          <w:trHeight w:val="180"/>
          <w:jc w:val="center"/>
        </w:trPr>
        <w:tc>
          <w:tcPr>
            <w:tcW w:w="2814" w:type="dxa"/>
            <w:vMerge/>
            <w:shd w:val="clear" w:color="auto" w:fill="auto"/>
            <w:vAlign w:val="center"/>
            <w:hideMark/>
          </w:tcPr>
          <w:p w14:paraId="41D18CA6" w14:textId="77777777" w:rsidR="007D27C9" w:rsidRPr="00C25829" w:rsidRDefault="007D27C9" w:rsidP="002C4CF6">
            <w:pPr>
              <w:spacing w:line="276" w:lineRule="auto"/>
              <w:ind w:right="-1"/>
              <w:jc w:val="center"/>
              <w:rPr>
                <w:rFonts w:eastAsia="Calibri"/>
                <w:b/>
                <w:bCs/>
                <w:sz w:val="22"/>
                <w:szCs w:val="22"/>
              </w:rPr>
            </w:pPr>
          </w:p>
        </w:tc>
        <w:tc>
          <w:tcPr>
            <w:tcW w:w="2420" w:type="dxa"/>
            <w:shd w:val="clear" w:color="auto" w:fill="auto"/>
            <w:noWrap/>
            <w:vAlign w:val="center"/>
            <w:hideMark/>
          </w:tcPr>
          <w:p w14:paraId="1F0D8E0E"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LİSE</w:t>
            </w:r>
          </w:p>
        </w:tc>
        <w:tc>
          <w:tcPr>
            <w:tcW w:w="1150" w:type="dxa"/>
            <w:shd w:val="clear" w:color="auto" w:fill="auto"/>
            <w:noWrap/>
            <w:vAlign w:val="center"/>
            <w:hideMark/>
          </w:tcPr>
          <w:p w14:paraId="660F6914" w14:textId="77777777" w:rsidR="007D27C9" w:rsidRPr="00C25829" w:rsidRDefault="007D27C9" w:rsidP="002C4CF6">
            <w:pPr>
              <w:spacing w:line="276" w:lineRule="auto"/>
              <w:ind w:right="-1"/>
              <w:jc w:val="center"/>
              <w:rPr>
                <w:rFonts w:eastAsia="Calibri"/>
                <w:b/>
                <w:bCs/>
                <w:sz w:val="22"/>
                <w:szCs w:val="22"/>
              </w:rPr>
            </w:pPr>
          </w:p>
        </w:tc>
        <w:tc>
          <w:tcPr>
            <w:tcW w:w="652" w:type="dxa"/>
            <w:shd w:val="clear" w:color="auto" w:fill="auto"/>
            <w:noWrap/>
            <w:vAlign w:val="center"/>
            <w:hideMark/>
          </w:tcPr>
          <w:p w14:paraId="783F14BB"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270B3C6D"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7519EA0D"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2A708863" w14:textId="77777777" w:rsidTr="002C4CF6">
        <w:trPr>
          <w:trHeight w:val="431"/>
          <w:jc w:val="center"/>
        </w:trPr>
        <w:tc>
          <w:tcPr>
            <w:tcW w:w="2814" w:type="dxa"/>
            <w:shd w:val="clear" w:color="auto" w:fill="auto"/>
            <w:noWrap/>
            <w:vAlign w:val="center"/>
            <w:hideMark/>
          </w:tcPr>
          <w:p w14:paraId="4E9CB154"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AÇIK VE YEŞİL ALANLAR</w:t>
            </w:r>
          </w:p>
        </w:tc>
        <w:tc>
          <w:tcPr>
            <w:tcW w:w="2420" w:type="dxa"/>
            <w:shd w:val="clear" w:color="auto" w:fill="auto"/>
            <w:noWrap/>
            <w:vAlign w:val="center"/>
            <w:hideMark/>
          </w:tcPr>
          <w:p w14:paraId="6C4BB58F"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PARK</w:t>
            </w:r>
          </w:p>
        </w:tc>
        <w:tc>
          <w:tcPr>
            <w:tcW w:w="1150" w:type="dxa"/>
            <w:shd w:val="clear" w:color="auto" w:fill="auto"/>
            <w:noWrap/>
            <w:vAlign w:val="center"/>
            <w:hideMark/>
          </w:tcPr>
          <w:p w14:paraId="2F812B2F"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6464</w:t>
            </w:r>
          </w:p>
        </w:tc>
        <w:tc>
          <w:tcPr>
            <w:tcW w:w="652" w:type="dxa"/>
            <w:shd w:val="clear" w:color="auto" w:fill="auto"/>
            <w:noWrap/>
            <w:vAlign w:val="center"/>
            <w:hideMark/>
          </w:tcPr>
          <w:p w14:paraId="096263D9"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23.0</w:t>
            </w:r>
          </w:p>
        </w:tc>
        <w:tc>
          <w:tcPr>
            <w:tcW w:w="653" w:type="dxa"/>
            <w:vMerge/>
            <w:shd w:val="clear" w:color="auto" w:fill="auto"/>
            <w:vAlign w:val="center"/>
            <w:hideMark/>
          </w:tcPr>
          <w:p w14:paraId="1E9D3109"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0F6ED866"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6464.00</w:t>
            </w:r>
          </w:p>
        </w:tc>
      </w:tr>
      <w:tr w:rsidR="007D27C9" w:rsidRPr="00C25829" w14:paraId="4BA60576" w14:textId="77777777" w:rsidTr="002C4CF6">
        <w:trPr>
          <w:trHeight w:val="396"/>
          <w:jc w:val="center"/>
        </w:trPr>
        <w:tc>
          <w:tcPr>
            <w:tcW w:w="2814" w:type="dxa"/>
            <w:shd w:val="clear" w:color="auto" w:fill="auto"/>
            <w:noWrap/>
            <w:vAlign w:val="center"/>
            <w:hideMark/>
          </w:tcPr>
          <w:p w14:paraId="3A2D14CF"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lastRenderedPageBreak/>
              <w:t>TEKNİK ALTYAPI</w:t>
            </w:r>
          </w:p>
        </w:tc>
        <w:tc>
          <w:tcPr>
            <w:tcW w:w="2420" w:type="dxa"/>
            <w:shd w:val="clear" w:color="auto" w:fill="auto"/>
            <w:noWrap/>
            <w:vAlign w:val="center"/>
            <w:hideMark/>
          </w:tcPr>
          <w:p w14:paraId="6E8410AE" w14:textId="77777777" w:rsidR="007D27C9" w:rsidRPr="00C25829" w:rsidRDefault="007D27C9" w:rsidP="002C4CF6">
            <w:pPr>
              <w:spacing w:line="276" w:lineRule="auto"/>
              <w:ind w:right="-1"/>
              <w:jc w:val="center"/>
              <w:rPr>
                <w:rFonts w:eastAsia="Calibri"/>
                <w:sz w:val="22"/>
                <w:szCs w:val="22"/>
              </w:rPr>
            </w:pPr>
          </w:p>
        </w:tc>
        <w:tc>
          <w:tcPr>
            <w:tcW w:w="1150" w:type="dxa"/>
            <w:shd w:val="clear" w:color="auto" w:fill="auto"/>
            <w:noWrap/>
            <w:vAlign w:val="center"/>
            <w:hideMark/>
          </w:tcPr>
          <w:p w14:paraId="5B80C7FD" w14:textId="77777777" w:rsidR="007D27C9" w:rsidRPr="00C25829" w:rsidRDefault="007D27C9" w:rsidP="002C4CF6">
            <w:pPr>
              <w:spacing w:line="276" w:lineRule="auto"/>
              <w:ind w:right="-1"/>
              <w:jc w:val="center"/>
              <w:rPr>
                <w:rFonts w:eastAsia="Calibri"/>
                <w:sz w:val="22"/>
                <w:szCs w:val="22"/>
              </w:rPr>
            </w:pPr>
          </w:p>
        </w:tc>
        <w:tc>
          <w:tcPr>
            <w:tcW w:w="652" w:type="dxa"/>
            <w:shd w:val="clear" w:color="auto" w:fill="auto"/>
            <w:noWrap/>
            <w:vAlign w:val="center"/>
            <w:hideMark/>
          </w:tcPr>
          <w:p w14:paraId="76851A96"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w:t>
            </w:r>
          </w:p>
        </w:tc>
        <w:tc>
          <w:tcPr>
            <w:tcW w:w="653" w:type="dxa"/>
            <w:vMerge/>
            <w:shd w:val="clear" w:color="auto" w:fill="auto"/>
            <w:vAlign w:val="center"/>
            <w:hideMark/>
          </w:tcPr>
          <w:p w14:paraId="6B59D8FC"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70E63C59"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0.00</w:t>
            </w:r>
          </w:p>
        </w:tc>
      </w:tr>
      <w:tr w:rsidR="007D27C9" w:rsidRPr="00C25829" w14:paraId="400BF3C9" w14:textId="77777777" w:rsidTr="002C4CF6">
        <w:trPr>
          <w:trHeight w:val="301"/>
          <w:jc w:val="center"/>
        </w:trPr>
        <w:tc>
          <w:tcPr>
            <w:tcW w:w="2814" w:type="dxa"/>
            <w:shd w:val="clear" w:color="auto" w:fill="auto"/>
            <w:noWrap/>
            <w:vAlign w:val="center"/>
            <w:hideMark/>
          </w:tcPr>
          <w:p w14:paraId="3B2C65B2"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YOL+OP</w:t>
            </w:r>
          </w:p>
        </w:tc>
        <w:tc>
          <w:tcPr>
            <w:tcW w:w="2420" w:type="dxa"/>
            <w:shd w:val="clear" w:color="auto" w:fill="auto"/>
            <w:noWrap/>
            <w:vAlign w:val="center"/>
            <w:hideMark/>
          </w:tcPr>
          <w:p w14:paraId="314631BC" w14:textId="77777777" w:rsidR="007D27C9" w:rsidRPr="00C25829" w:rsidRDefault="007D27C9" w:rsidP="002C4CF6">
            <w:pPr>
              <w:spacing w:line="276" w:lineRule="auto"/>
              <w:ind w:right="-1"/>
              <w:jc w:val="center"/>
              <w:rPr>
                <w:rFonts w:eastAsia="Calibri"/>
                <w:sz w:val="22"/>
                <w:szCs w:val="22"/>
              </w:rPr>
            </w:pPr>
          </w:p>
        </w:tc>
        <w:tc>
          <w:tcPr>
            <w:tcW w:w="1150" w:type="dxa"/>
            <w:shd w:val="clear" w:color="auto" w:fill="auto"/>
            <w:noWrap/>
            <w:vAlign w:val="center"/>
            <w:hideMark/>
          </w:tcPr>
          <w:p w14:paraId="6CEECB7E"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6064</w:t>
            </w:r>
          </w:p>
        </w:tc>
        <w:tc>
          <w:tcPr>
            <w:tcW w:w="652" w:type="dxa"/>
            <w:shd w:val="clear" w:color="auto" w:fill="auto"/>
            <w:noWrap/>
            <w:vAlign w:val="center"/>
            <w:hideMark/>
          </w:tcPr>
          <w:p w14:paraId="20018495"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21.6</w:t>
            </w:r>
          </w:p>
        </w:tc>
        <w:tc>
          <w:tcPr>
            <w:tcW w:w="653" w:type="dxa"/>
            <w:vMerge/>
            <w:shd w:val="clear" w:color="auto" w:fill="auto"/>
            <w:vAlign w:val="center"/>
            <w:hideMark/>
          </w:tcPr>
          <w:p w14:paraId="7547F981"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653BBE9A"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6064.00</w:t>
            </w:r>
          </w:p>
        </w:tc>
      </w:tr>
      <w:tr w:rsidR="007D27C9" w:rsidRPr="00C25829" w14:paraId="42295AB1" w14:textId="77777777" w:rsidTr="002C4CF6">
        <w:trPr>
          <w:trHeight w:val="278"/>
          <w:jc w:val="center"/>
        </w:trPr>
        <w:tc>
          <w:tcPr>
            <w:tcW w:w="8581" w:type="dxa"/>
            <w:gridSpan w:val="6"/>
            <w:tcBorders>
              <w:bottom w:val="single" w:sz="4" w:space="0" w:color="auto"/>
            </w:tcBorders>
            <w:shd w:val="clear" w:color="auto" w:fill="DEEAF6"/>
            <w:noWrap/>
            <w:vAlign w:val="center"/>
            <w:hideMark/>
          </w:tcPr>
          <w:p w14:paraId="259437B1" w14:textId="77777777" w:rsidR="007D27C9" w:rsidRPr="00C25829" w:rsidRDefault="007D27C9" w:rsidP="002C4CF6">
            <w:pPr>
              <w:spacing w:line="276" w:lineRule="auto"/>
              <w:ind w:right="-1"/>
              <w:jc w:val="center"/>
              <w:rPr>
                <w:rFonts w:eastAsia="Calibri"/>
                <w:sz w:val="22"/>
                <w:szCs w:val="22"/>
              </w:rPr>
            </w:pPr>
          </w:p>
        </w:tc>
      </w:tr>
      <w:tr w:rsidR="007D27C9" w:rsidRPr="00C25829" w14:paraId="24B515F8" w14:textId="77777777" w:rsidTr="002C4CF6">
        <w:trPr>
          <w:trHeight w:val="189"/>
          <w:jc w:val="center"/>
        </w:trPr>
        <w:tc>
          <w:tcPr>
            <w:tcW w:w="2814" w:type="dxa"/>
            <w:shd w:val="clear" w:color="auto" w:fill="auto"/>
            <w:noWrap/>
            <w:vAlign w:val="center"/>
            <w:hideMark/>
          </w:tcPr>
          <w:p w14:paraId="47890687"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KONUT ALANLARI TOPLAMI</w:t>
            </w:r>
          </w:p>
        </w:tc>
        <w:tc>
          <w:tcPr>
            <w:tcW w:w="2420" w:type="dxa"/>
            <w:shd w:val="clear" w:color="auto" w:fill="auto"/>
            <w:noWrap/>
            <w:vAlign w:val="center"/>
            <w:hideMark/>
          </w:tcPr>
          <w:p w14:paraId="6ECC34CB"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KONUT ALANI (E:1.25)</w:t>
            </w:r>
          </w:p>
        </w:tc>
        <w:tc>
          <w:tcPr>
            <w:tcW w:w="1150" w:type="dxa"/>
            <w:shd w:val="clear" w:color="auto" w:fill="auto"/>
            <w:noWrap/>
            <w:vAlign w:val="center"/>
            <w:hideMark/>
          </w:tcPr>
          <w:p w14:paraId="2B124217"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8415</w:t>
            </w:r>
          </w:p>
        </w:tc>
        <w:tc>
          <w:tcPr>
            <w:tcW w:w="652" w:type="dxa"/>
            <w:shd w:val="clear" w:color="auto" w:fill="auto"/>
            <w:noWrap/>
            <w:vAlign w:val="center"/>
            <w:hideMark/>
          </w:tcPr>
          <w:p w14:paraId="767E2705"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29.9</w:t>
            </w:r>
          </w:p>
        </w:tc>
        <w:tc>
          <w:tcPr>
            <w:tcW w:w="653" w:type="dxa"/>
            <w:vMerge w:val="restart"/>
            <w:shd w:val="clear" w:color="auto" w:fill="auto"/>
            <w:noWrap/>
            <w:vAlign w:val="center"/>
            <w:hideMark/>
          </w:tcPr>
          <w:p w14:paraId="60ABF3A2"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55.4</w:t>
            </w:r>
          </w:p>
        </w:tc>
        <w:tc>
          <w:tcPr>
            <w:tcW w:w="892" w:type="dxa"/>
            <w:shd w:val="clear" w:color="auto" w:fill="auto"/>
            <w:noWrap/>
            <w:vAlign w:val="center"/>
            <w:hideMark/>
          </w:tcPr>
          <w:p w14:paraId="3FAE81C4"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8415.00</w:t>
            </w:r>
          </w:p>
        </w:tc>
      </w:tr>
      <w:tr w:rsidR="007D27C9" w:rsidRPr="00C25829" w14:paraId="3C08B463" w14:textId="77777777" w:rsidTr="002C4CF6">
        <w:trPr>
          <w:trHeight w:val="189"/>
          <w:jc w:val="center"/>
        </w:trPr>
        <w:tc>
          <w:tcPr>
            <w:tcW w:w="2814" w:type="dxa"/>
            <w:shd w:val="clear" w:color="auto" w:fill="auto"/>
            <w:noWrap/>
            <w:vAlign w:val="center"/>
            <w:hideMark/>
          </w:tcPr>
          <w:p w14:paraId="521895CC"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KENTSEL ÇALIŞMA ALANLARI</w:t>
            </w:r>
          </w:p>
        </w:tc>
        <w:tc>
          <w:tcPr>
            <w:tcW w:w="2420" w:type="dxa"/>
            <w:shd w:val="clear" w:color="auto" w:fill="auto"/>
            <w:noWrap/>
            <w:vAlign w:val="center"/>
            <w:hideMark/>
          </w:tcPr>
          <w:p w14:paraId="1437909F"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TİCARET</w:t>
            </w:r>
          </w:p>
        </w:tc>
        <w:tc>
          <w:tcPr>
            <w:tcW w:w="1150" w:type="dxa"/>
            <w:shd w:val="clear" w:color="auto" w:fill="auto"/>
            <w:noWrap/>
            <w:vAlign w:val="center"/>
            <w:hideMark/>
          </w:tcPr>
          <w:p w14:paraId="32B3F19D"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7161</w:t>
            </w:r>
          </w:p>
        </w:tc>
        <w:tc>
          <w:tcPr>
            <w:tcW w:w="652" w:type="dxa"/>
            <w:shd w:val="clear" w:color="auto" w:fill="auto"/>
            <w:noWrap/>
            <w:vAlign w:val="center"/>
            <w:hideMark/>
          </w:tcPr>
          <w:p w14:paraId="3C48E34F"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25.5</w:t>
            </w:r>
          </w:p>
        </w:tc>
        <w:tc>
          <w:tcPr>
            <w:tcW w:w="653" w:type="dxa"/>
            <w:vMerge/>
            <w:shd w:val="clear" w:color="auto" w:fill="auto"/>
            <w:vAlign w:val="center"/>
            <w:hideMark/>
          </w:tcPr>
          <w:p w14:paraId="53452E48" w14:textId="77777777" w:rsidR="007D27C9" w:rsidRPr="00C25829" w:rsidRDefault="007D27C9" w:rsidP="002C4CF6">
            <w:pPr>
              <w:spacing w:line="276" w:lineRule="auto"/>
              <w:ind w:right="-1"/>
              <w:jc w:val="center"/>
              <w:rPr>
                <w:rFonts w:eastAsia="Calibri"/>
                <w:b/>
                <w:bCs/>
                <w:sz w:val="22"/>
                <w:szCs w:val="22"/>
              </w:rPr>
            </w:pPr>
          </w:p>
        </w:tc>
        <w:tc>
          <w:tcPr>
            <w:tcW w:w="892" w:type="dxa"/>
            <w:shd w:val="clear" w:color="auto" w:fill="auto"/>
            <w:noWrap/>
            <w:vAlign w:val="center"/>
            <w:hideMark/>
          </w:tcPr>
          <w:p w14:paraId="200D5F2B"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7161.00</w:t>
            </w:r>
          </w:p>
        </w:tc>
      </w:tr>
      <w:tr w:rsidR="007D27C9" w:rsidRPr="00C25829" w14:paraId="697DD392" w14:textId="77777777" w:rsidTr="002C4CF6">
        <w:trPr>
          <w:trHeight w:val="189"/>
          <w:jc w:val="center"/>
        </w:trPr>
        <w:tc>
          <w:tcPr>
            <w:tcW w:w="8581" w:type="dxa"/>
            <w:gridSpan w:val="6"/>
            <w:shd w:val="clear" w:color="auto" w:fill="auto"/>
            <w:noWrap/>
            <w:vAlign w:val="center"/>
            <w:hideMark/>
          </w:tcPr>
          <w:p w14:paraId="34FD038C" w14:textId="77777777" w:rsidR="007D27C9" w:rsidRPr="00C25829" w:rsidRDefault="007D27C9" w:rsidP="002C4CF6">
            <w:pPr>
              <w:spacing w:line="276" w:lineRule="auto"/>
              <w:ind w:right="-1"/>
              <w:jc w:val="center"/>
              <w:rPr>
                <w:rFonts w:eastAsia="Calibri"/>
                <w:b/>
                <w:bCs/>
                <w:sz w:val="22"/>
                <w:szCs w:val="22"/>
              </w:rPr>
            </w:pPr>
          </w:p>
        </w:tc>
      </w:tr>
      <w:tr w:rsidR="007D27C9" w:rsidRPr="00C25829" w14:paraId="77C93ED9" w14:textId="77777777" w:rsidTr="002C4CF6">
        <w:trPr>
          <w:trHeight w:val="396"/>
          <w:jc w:val="center"/>
        </w:trPr>
        <w:tc>
          <w:tcPr>
            <w:tcW w:w="2814" w:type="dxa"/>
            <w:shd w:val="clear" w:color="auto" w:fill="auto"/>
            <w:noWrap/>
            <w:vAlign w:val="center"/>
            <w:hideMark/>
          </w:tcPr>
          <w:p w14:paraId="1B2A6D58"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TOPLAM ALAN</w:t>
            </w:r>
          </w:p>
        </w:tc>
        <w:tc>
          <w:tcPr>
            <w:tcW w:w="2420" w:type="dxa"/>
            <w:shd w:val="clear" w:color="auto" w:fill="auto"/>
            <w:noWrap/>
            <w:vAlign w:val="center"/>
            <w:hideMark/>
          </w:tcPr>
          <w:p w14:paraId="45B192A0" w14:textId="77777777" w:rsidR="007D27C9" w:rsidRPr="00C25829" w:rsidRDefault="007D27C9" w:rsidP="002C4CF6">
            <w:pPr>
              <w:spacing w:line="276" w:lineRule="auto"/>
              <w:ind w:right="-1"/>
              <w:jc w:val="center"/>
              <w:rPr>
                <w:rFonts w:eastAsia="Calibri"/>
                <w:b/>
                <w:bCs/>
                <w:sz w:val="22"/>
                <w:szCs w:val="22"/>
              </w:rPr>
            </w:pPr>
          </w:p>
        </w:tc>
        <w:tc>
          <w:tcPr>
            <w:tcW w:w="1150" w:type="dxa"/>
            <w:shd w:val="clear" w:color="auto" w:fill="auto"/>
            <w:noWrap/>
            <w:vAlign w:val="center"/>
            <w:hideMark/>
          </w:tcPr>
          <w:p w14:paraId="4852CCCE"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28104</w:t>
            </w:r>
          </w:p>
        </w:tc>
        <w:tc>
          <w:tcPr>
            <w:tcW w:w="652" w:type="dxa"/>
            <w:shd w:val="clear" w:color="auto" w:fill="auto"/>
            <w:noWrap/>
            <w:vAlign w:val="center"/>
            <w:hideMark/>
          </w:tcPr>
          <w:p w14:paraId="2B87DC05"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100</w:t>
            </w:r>
          </w:p>
        </w:tc>
        <w:tc>
          <w:tcPr>
            <w:tcW w:w="653" w:type="dxa"/>
            <w:shd w:val="clear" w:color="auto" w:fill="auto"/>
            <w:noWrap/>
            <w:vAlign w:val="center"/>
            <w:hideMark/>
          </w:tcPr>
          <w:p w14:paraId="161075D9"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100</w:t>
            </w:r>
          </w:p>
        </w:tc>
        <w:tc>
          <w:tcPr>
            <w:tcW w:w="892" w:type="dxa"/>
            <w:shd w:val="clear" w:color="auto" w:fill="auto"/>
            <w:noWrap/>
            <w:vAlign w:val="center"/>
            <w:hideMark/>
          </w:tcPr>
          <w:p w14:paraId="1085CAFE" w14:textId="77777777" w:rsidR="007D27C9" w:rsidRPr="00C25829" w:rsidRDefault="007D27C9" w:rsidP="002C4CF6">
            <w:pPr>
              <w:spacing w:line="276" w:lineRule="auto"/>
              <w:ind w:right="-1"/>
              <w:jc w:val="center"/>
              <w:rPr>
                <w:rFonts w:eastAsia="Calibri"/>
                <w:sz w:val="22"/>
                <w:szCs w:val="22"/>
              </w:rPr>
            </w:pPr>
            <w:r w:rsidRPr="00C25829">
              <w:rPr>
                <w:rFonts w:eastAsia="Calibri"/>
                <w:sz w:val="22"/>
                <w:szCs w:val="22"/>
              </w:rPr>
              <w:t>28104.00</w:t>
            </w:r>
          </w:p>
        </w:tc>
      </w:tr>
      <w:tr w:rsidR="007D27C9" w:rsidRPr="00C25829" w14:paraId="1C068213" w14:textId="77777777" w:rsidTr="002C4CF6">
        <w:trPr>
          <w:trHeight w:val="189"/>
          <w:jc w:val="center"/>
        </w:trPr>
        <w:tc>
          <w:tcPr>
            <w:tcW w:w="8581" w:type="dxa"/>
            <w:gridSpan w:val="6"/>
            <w:shd w:val="clear" w:color="auto" w:fill="DEEAF6"/>
            <w:noWrap/>
            <w:vAlign w:val="center"/>
            <w:hideMark/>
          </w:tcPr>
          <w:p w14:paraId="7E7CFD18"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Öneri Nüfus</w:t>
            </w:r>
          </w:p>
        </w:tc>
      </w:tr>
      <w:tr w:rsidR="007D27C9" w:rsidRPr="00C25829" w14:paraId="12312F82" w14:textId="77777777" w:rsidTr="002C4CF6">
        <w:trPr>
          <w:trHeight w:val="318"/>
          <w:jc w:val="center"/>
        </w:trPr>
        <w:tc>
          <w:tcPr>
            <w:tcW w:w="2814" w:type="dxa"/>
            <w:shd w:val="clear" w:color="auto" w:fill="auto"/>
            <w:noWrap/>
            <w:vAlign w:val="center"/>
            <w:hideMark/>
          </w:tcPr>
          <w:p w14:paraId="40B8CC39"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TOPLAM NÜFUS</w:t>
            </w:r>
          </w:p>
        </w:tc>
        <w:tc>
          <w:tcPr>
            <w:tcW w:w="5767" w:type="dxa"/>
            <w:gridSpan w:val="5"/>
            <w:shd w:val="clear" w:color="auto" w:fill="auto"/>
            <w:noWrap/>
            <w:vAlign w:val="center"/>
            <w:hideMark/>
          </w:tcPr>
          <w:p w14:paraId="0C7F7ED4" w14:textId="77777777" w:rsidR="007D27C9" w:rsidRPr="00C25829" w:rsidRDefault="007D27C9" w:rsidP="002C4CF6">
            <w:pPr>
              <w:spacing w:line="276" w:lineRule="auto"/>
              <w:ind w:right="-1"/>
              <w:jc w:val="center"/>
              <w:rPr>
                <w:rFonts w:eastAsia="Calibri"/>
                <w:b/>
                <w:bCs/>
                <w:sz w:val="22"/>
                <w:szCs w:val="22"/>
              </w:rPr>
            </w:pPr>
            <w:r w:rsidRPr="00C25829">
              <w:rPr>
                <w:rFonts w:eastAsia="Calibri"/>
                <w:b/>
                <w:bCs/>
                <w:sz w:val="22"/>
                <w:szCs w:val="22"/>
              </w:rPr>
              <w:t>333</w:t>
            </w:r>
          </w:p>
        </w:tc>
      </w:tr>
    </w:tbl>
    <w:p w14:paraId="03F85350" w14:textId="77777777" w:rsidR="007D27C9" w:rsidRPr="00C25829" w:rsidRDefault="007D27C9" w:rsidP="007D27C9">
      <w:pPr>
        <w:pStyle w:val="ListeParagraf"/>
        <w:ind w:left="360"/>
      </w:pPr>
    </w:p>
    <w:p w14:paraId="68A0E9AB" w14:textId="77777777" w:rsidR="007D27C9" w:rsidRPr="00C25829" w:rsidRDefault="007D27C9" w:rsidP="007D27C9">
      <w:pPr>
        <w:pStyle w:val="ListeParagraf"/>
        <w:numPr>
          <w:ilvl w:val="0"/>
          <w:numId w:val="24"/>
        </w:numPr>
        <w:spacing w:line="276" w:lineRule="auto"/>
        <w:contextualSpacing/>
        <w:jc w:val="both"/>
      </w:pPr>
      <w:r w:rsidRPr="00C25829">
        <w:t xml:space="preserve">Uygulama İmar Plan sınırının plan ve lejantta gösterildiği gibi esas alındığı ve buna göre Düzenleme Ortaklık Payı hesabının </w:t>
      </w:r>
      <w:proofErr w:type="gramStart"/>
      <w:r w:rsidRPr="00C25829">
        <w:t>%44.6</w:t>
      </w:r>
      <w:proofErr w:type="gramEnd"/>
      <w:r w:rsidRPr="00C25829">
        <w:t xml:space="preserve"> olduğu,</w:t>
      </w:r>
    </w:p>
    <w:p w14:paraId="00313B83" w14:textId="77777777" w:rsidR="007D27C9" w:rsidRPr="00C25829" w:rsidRDefault="007D27C9" w:rsidP="007D27C9">
      <w:pPr>
        <w:pStyle w:val="ListeParagraf"/>
        <w:numPr>
          <w:ilvl w:val="0"/>
          <w:numId w:val="24"/>
        </w:numPr>
        <w:spacing w:line="276" w:lineRule="auto"/>
        <w:contextualSpacing/>
        <w:jc w:val="both"/>
      </w:pPr>
      <w:r w:rsidRPr="00C25829">
        <w:t>DOP Hesabının aşağıdaki gibi olduğu,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1557"/>
        <w:gridCol w:w="1619"/>
        <w:gridCol w:w="1353"/>
      </w:tblGrid>
      <w:tr w:rsidR="007D27C9" w:rsidRPr="00C25829" w14:paraId="13C7451C" w14:textId="77777777" w:rsidTr="002C4CF6">
        <w:trPr>
          <w:trHeight w:val="305"/>
          <w:jc w:val="center"/>
        </w:trPr>
        <w:tc>
          <w:tcPr>
            <w:tcW w:w="4113" w:type="dxa"/>
            <w:shd w:val="clear" w:color="auto" w:fill="DEEAF6"/>
            <w:noWrap/>
            <w:vAlign w:val="center"/>
            <w:hideMark/>
          </w:tcPr>
          <w:p w14:paraId="7BC4C3C3" w14:textId="77777777" w:rsidR="007D27C9" w:rsidRPr="00C25829" w:rsidRDefault="007D27C9" w:rsidP="002C4CF6">
            <w:pPr>
              <w:pStyle w:val="ListeParagraf"/>
              <w:ind w:left="360"/>
              <w:jc w:val="center"/>
              <w:rPr>
                <w:b/>
                <w:bCs/>
              </w:rPr>
            </w:pPr>
            <w:r w:rsidRPr="00C25829">
              <w:rPr>
                <w:b/>
                <w:bCs/>
              </w:rPr>
              <w:t>PLAN KARARLARI</w:t>
            </w:r>
          </w:p>
        </w:tc>
        <w:tc>
          <w:tcPr>
            <w:tcW w:w="1557" w:type="dxa"/>
            <w:shd w:val="clear" w:color="auto" w:fill="DEEAF6"/>
            <w:noWrap/>
            <w:vAlign w:val="center"/>
            <w:hideMark/>
          </w:tcPr>
          <w:p w14:paraId="4697125E" w14:textId="77777777" w:rsidR="007D27C9" w:rsidRPr="00C25829" w:rsidRDefault="007D27C9" w:rsidP="002C4CF6">
            <w:pPr>
              <w:pStyle w:val="ListeParagraf"/>
              <w:ind w:left="360"/>
              <w:jc w:val="center"/>
              <w:rPr>
                <w:b/>
                <w:bCs/>
              </w:rPr>
            </w:pPr>
            <w:r w:rsidRPr="00C25829">
              <w:rPr>
                <w:b/>
                <w:bCs/>
              </w:rPr>
              <w:t>Alan (m²)</w:t>
            </w:r>
          </w:p>
        </w:tc>
        <w:tc>
          <w:tcPr>
            <w:tcW w:w="1619" w:type="dxa"/>
            <w:shd w:val="clear" w:color="auto" w:fill="DEEAF6"/>
            <w:noWrap/>
            <w:vAlign w:val="center"/>
            <w:hideMark/>
          </w:tcPr>
          <w:p w14:paraId="2CA8720C" w14:textId="77777777" w:rsidR="007D27C9" w:rsidRPr="00C25829" w:rsidRDefault="007D27C9" w:rsidP="002C4CF6">
            <w:pPr>
              <w:pStyle w:val="ListeParagraf"/>
              <w:ind w:left="360"/>
              <w:jc w:val="center"/>
              <w:rPr>
                <w:b/>
                <w:bCs/>
              </w:rPr>
            </w:pPr>
            <w:r w:rsidRPr="00C25829">
              <w:rPr>
                <w:b/>
                <w:bCs/>
              </w:rPr>
              <w:t>Yüzde</w:t>
            </w:r>
          </w:p>
        </w:tc>
        <w:tc>
          <w:tcPr>
            <w:tcW w:w="1353" w:type="dxa"/>
            <w:shd w:val="clear" w:color="auto" w:fill="DEEAF6"/>
            <w:noWrap/>
            <w:vAlign w:val="center"/>
            <w:hideMark/>
          </w:tcPr>
          <w:p w14:paraId="552BFE4A" w14:textId="77777777" w:rsidR="007D27C9" w:rsidRPr="00C25829" w:rsidRDefault="007D27C9" w:rsidP="002C4CF6">
            <w:pPr>
              <w:pStyle w:val="ListeParagraf"/>
              <w:ind w:left="360"/>
              <w:jc w:val="center"/>
              <w:rPr>
                <w:b/>
                <w:bCs/>
              </w:rPr>
            </w:pPr>
          </w:p>
        </w:tc>
      </w:tr>
      <w:tr w:rsidR="007D27C9" w:rsidRPr="00C25829" w14:paraId="7069A84F" w14:textId="77777777" w:rsidTr="002C4CF6">
        <w:trPr>
          <w:trHeight w:val="305"/>
          <w:jc w:val="center"/>
        </w:trPr>
        <w:tc>
          <w:tcPr>
            <w:tcW w:w="4113" w:type="dxa"/>
            <w:shd w:val="clear" w:color="auto" w:fill="auto"/>
            <w:noWrap/>
            <w:vAlign w:val="center"/>
            <w:hideMark/>
          </w:tcPr>
          <w:p w14:paraId="5EB3100C" w14:textId="77777777" w:rsidR="007D27C9" w:rsidRPr="00C25829" w:rsidRDefault="007D27C9" w:rsidP="002C4CF6">
            <w:pPr>
              <w:pStyle w:val="ListeParagraf"/>
              <w:ind w:left="360"/>
              <w:jc w:val="center"/>
              <w:rPr>
                <w:b/>
                <w:bCs/>
              </w:rPr>
            </w:pPr>
            <w:r w:rsidRPr="00C25829">
              <w:rPr>
                <w:b/>
                <w:bCs/>
              </w:rPr>
              <w:t>KONUT ALANLARI</w:t>
            </w:r>
          </w:p>
        </w:tc>
        <w:tc>
          <w:tcPr>
            <w:tcW w:w="1557" w:type="dxa"/>
            <w:shd w:val="clear" w:color="auto" w:fill="auto"/>
            <w:noWrap/>
            <w:vAlign w:val="center"/>
            <w:hideMark/>
          </w:tcPr>
          <w:p w14:paraId="167B8423" w14:textId="77777777" w:rsidR="007D27C9" w:rsidRPr="00C25829" w:rsidRDefault="007D27C9" w:rsidP="002C4CF6">
            <w:pPr>
              <w:pStyle w:val="ListeParagraf"/>
              <w:ind w:left="360"/>
              <w:jc w:val="center"/>
              <w:rPr>
                <w:b/>
                <w:bCs/>
              </w:rPr>
            </w:pPr>
            <w:r w:rsidRPr="00C25829">
              <w:rPr>
                <w:b/>
                <w:bCs/>
              </w:rPr>
              <w:t>8415</w:t>
            </w:r>
          </w:p>
        </w:tc>
        <w:tc>
          <w:tcPr>
            <w:tcW w:w="1619" w:type="dxa"/>
            <w:shd w:val="clear" w:color="auto" w:fill="auto"/>
            <w:noWrap/>
            <w:vAlign w:val="center"/>
            <w:hideMark/>
          </w:tcPr>
          <w:p w14:paraId="1B88FC26" w14:textId="77777777" w:rsidR="007D27C9" w:rsidRPr="00C25829" w:rsidRDefault="007D27C9" w:rsidP="002C4CF6">
            <w:pPr>
              <w:pStyle w:val="ListeParagraf"/>
              <w:ind w:left="360"/>
              <w:jc w:val="center"/>
              <w:rPr>
                <w:b/>
                <w:bCs/>
              </w:rPr>
            </w:pPr>
            <w:r w:rsidRPr="00C25829">
              <w:rPr>
                <w:b/>
                <w:bCs/>
              </w:rPr>
              <w:t>29.9</w:t>
            </w:r>
          </w:p>
        </w:tc>
        <w:tc>
          <w:tcPr>
            <w:tcW w:w="1353" w:type="dxa"/>
            <w:vMerge w:val="restart"/>
            <w:shd w:val="clear" w:color="auto" w:fill="auto"/>
            <w:noWrap/>
            <w:vAlign w:val="center"/>
            <w:hideMark/>
          </w:tcPr>
          <w:p w14:paraId="713DF194" w14:textId="77777777" w:rsidR="007D27C9" w:rsidRPr="00C25829" w:rsidRDefault="007D27C9" w:rsidP="002C4CF6">
            <w:pPr>
              <w:pStyle w:val="ListeParagraf"/>
              <w:ind w:left="360"/>
              <w:jc w:val="center"/>
              <w:rPr>
                <w:b/>
                <w:bCs/>
              </w:rPr>
            </w:pPr>
            <w:r w:rsidRPr="00C25829">
              <w:rPr>
                <w:b/>
                <w:bCs/>
              </w:rPr>
              <w:t>55.4</w:t>
            </w:r>
          </w:p>
        </w:tc>
      </w:tr>
      <w:tr w:rsidR="007D27C9" w:rsidRPr="00C25829" w14:paraId="463317D6" w14:textId="77777777" w:rsidTr="002C4CF6">
        <w:trPr>
          <w:trHeight w:val="359"/>
          <w:jc w:val="center"/>
        </w:trPr>
        <w:tc>
          <w:tcPr>
            <w:tcW w:w="4113" w:type="dxa"/>
            <w:shd w:val="clear" w:color="auto" w:fill="auto"/>
            <w:noWrap/>
            <w:vAlign w:val="center"/>
            <w:hideMark/>
          </w:tcPr>
          <w:p w14:paraId="206ACE1F" w14:textId="77777777" w:rsidR="007D27C9" w:rsidRPr="00C25829" w:rsidRDefault="007D27C9" w:rsidP="002C4CF6">
            <w:pPr>
              <w:pStyle w:val="ListeParagraf"/>
              <w:ind w:left="360"/>
              <w:jc w:val="center"/>
              <w:rPr>
                <w:b/>
                <w:bCs/>
              </w:rPr>
            </w:pPr>
            <w:r w:rsidRPr="00C25829">
              <w:rPr>
                <w:b/>
                <w:bCs/>
              </w:rPr>
              <w:t>TİCARET ALANI</w:t>
            </w:r>
          </w:p>
        </w:tc>
        <w:tc>
          <w:tcPr>
            <w:tcW w:w="1557" w:type="dxa"/>
            <w:shd w:val="clear" w:color="auto" w:fill="auto"/>
            <w:noWrap/>
            <w:vAlign w:val="center"/>
            <w:hideMark/>
          </w:tcPr>
          <w:p w14:paraId="3C7232A2" w14:textId="77777777" w:rsidR="007D27C9" w:rsidRPr="00C25829" w:rsidRDefault="007D27C9" w:rsidP="002C4CF6">
            <w:pPr>
              <w:pStyle w:val="ListeParagraf"/>
              <w:ind w:left="360"/>
              <w:jc w:val="center"/>
              <w:rPr>
                <w:b/>
                <w:bCs/>
              </w:rPr>
            </w:pPr>
            <w:r w:rsidRPr="00C25829">
              <w:rPr>
                <w:b/>
                <w:bCs/>
              </w:rPr>
              <w:t>7161</w:t>
            </w:r>
          </w:p>
        </w:tc>
        <w:tc>
          <w:tcPr>
            <w:tcW w:w="1619" w:type="dxa"/>
            <w:shd w:val="clear" w:color="auto" w:fill="auto"/>
            <w:noWrap/>
            <w:vAlign w:val="center"/>
            <w:hideMark/>
          </w:tcPr>
          <w:p w14:paraId="040D539C" w14:textId="77777777" w:rsidR="007D27C9" w:rsidRPr="00C25829" w:rsidRDefault="007D27C9" w:rsidP="002C4CF6">
            <w:pPr>
              <w:pStyle w:val="ListeParagraf"/>
              <w:ind w:left="360"/>
              <w:jc w:val="center"/>
              <w:rPr>
                <w:b/>
                <w:bCs/>
              </w:rPr>
            </w:pPr>
            <w:r w:rsidRPr="00C25829">
              <w:rPr>
                <w:b/>
                <w:bCs/>
              </w:rPr>
              <w:t>25.5</w:t>
            </w:r>
          </w:p>
        </w:tc>
        <w:tc>
          <w:tcPr>
            <w:tcW w:w="1353" w:type="dxa"/>
            <w:vMerge/>
            <w:shd w:val="clear" w:color="auto" w:fill="auto"/>
            <w:vAlign w:val="center"/>
            <w:hideMark/>
          </w:tcPr>
          <w:p w14:paraId="0E4D4A96" w14:textId="77777777" w:rsidR="007D27C9" w:rsidRPr="00C25829" w:rsidRDefault="007D27C9" w:rsidP="002C4CF6">
            <w:pPr>
              <w:pStyle w:val="ListeParagraf"/>
              <w:ind w:left="360"/>
              <w:jc w:val="center"/>
              <w:rPr>
                <w:b/>
                <w:bCs/>
              </w:rPr>
            </w:pPr>
          </w:p>
        </w:tc>
      </w:tr>
      <w:tr w:rsidR="007D27C9" w:rsidRPr="00C25829" w14:paraId="5EDD4EC6" w14:textId="77777777" w:rsidTr="002C4CF6">
        <w:trPr>
          <w:trHeight w:val="359"/>
          <w:jc w:val="center"/>
        </w:trPr>
        <w:tc>
          <w:tcPr>
            <w:tcW w:w="4113" w:type="dxa"/>
            <w:shd w:val="clear" w:color="auto" w:fill="auto"/>
            <w:noWrap/>
            <w:vAlign w:val="center"/>
            <w:hideMark/>
          </w:tcPr>
          <w:p w14:paraId="31264130" w14:textId="77777777" w:rsidR="007D27C9" w:rsidRPr="00C25829" w:rsidRDefault="007D27C9" w:rsidP="002C4CF6">
            <w:pPr>
              <w:pStyle w:val="ListeParagraf"/>
              <w:ind w:left="360"/>
              <w:jc w:val="center"/>
              <w:rPr>
                <w:b/>
                <w:bCs/>
              </w:rPr>
            </w:pPr>
            <w:r w:rsidRPr="00C25829">
              <w:rPr>
                <w:b/>
                <w:bCs/>
              </w:rPr>
              <w:t>SOSYAL ALTYAPI (DONATI) ALANLARI</w:t>
            </w:r>
          </w:p>
        </w:tc>
        <w:tc>
          <w:tcPr>
            <w:tcW w:w="1557" w:type="dxa"/>
            <w:shd w:val="clear" w:color="auto" w:fill="auto"/>
            <w:noWrap/>
            <w:vAlign w:val="center"/>
            <w:hideMark/>
          </w:tcPr>
          <w:p w14:paraId="239F9D1D" w14:textId="77777777" w:rsidR="007D27C9" w:rsidRPr="00C25829" w:rsidRDefault="007D27C9" w:rsidP="002C4CF6">
            <w:pPr>
              <w:pStyle w:val="ListeParagraf"/>
              <w:ind w:left="360"/>
              <w:jc w:val="center"/>
              <w:rPr>
                <w:b/>
                <w:bCs/>
              </w:rPr>
            </w:pPr>
            <w:r w:rsidRPr="00C25829">
              <w:rPr>
                <w:b/>
                <w:bCs/>
              </w:rPr>
              <w:t>0</w:t>
            </w:r>
          </w:p>
        </w:tc>
        <w:tc>
          <w:tcPr>
            <w:tcW w:w="1619" w:type="dxa"/>
            <w:shd w:val="clear" w:color="auto" w:fill="auto"/>
            <w:noWrap/>
            <w:vAlign w:val="center"/>
            <w:hideMark/>
          </w:tcPr>
          <w:p w14:paraId="3D5B30BC" w14:textId="77777777" w:rsidR="007D27C9" w:rsidRPr="00C25829" w:rsidRDefault="007D27C9" w:rsidP="002C4CF6">
            <w:pPr>
              <w:pStyle w:val="ListeParagraf"/>
              <w:ind w:left="360"/>
              <w:jc w:val="center"/>
              <w:rPr>
                <w:b/>
                <w:bCs/>
              </w:rPr>
            </w:pPr>
            <w:r w:rsidRPr="00C25829">
              <w:rPr>
                <w:b/>
                <w:bCs/>
              </w:rPr>
              <w:t>0.0</w:t>
            </w:r>
          </w:p>
        </w:tc>
        <w:tc>
          <w:tcPr>
            <w:tcW w:w="1353" w:type="dxa"/>
            <w:vMerge w:val="restart"/>
            <w:shd w:val="clear" w:color="auto" w:fill="auto"/>
            <w:noWrap/>
            <w:vAlign w:val="center"/>
            <w:hideMark/>
          </w:tcPr>
          <w:p w14:paraId="6E6975E9" w14:textId="77777777" w:rsidR="007D27C9" w:rsidRPr="00C25829" w:rsidRDefault="007D27C9" w:rsidP="002C4CF6">
            <w:pPr>
              <w:pStyle w:val="ListeParagraf"/>
              <w:ind w:left="360"/>
              <w:jc w:val="center"/>
              <w:rPr>
                <w:b/>
                <w:bCs/>
              </w:rPr>
            </w:pPr>
            <w:r w:rsidRPr="00C25829">
              <w:rPr>
                <w:b/>
                <w:bCs/>
              </w:rPr>
              <w:t>44.6</w:t>
            </w:r>
          </w:p>
        </w:tc>
      </w:tr>
      <w:tr w:rsidR="007D27C9" w:rsidRPr="00C25829" w14:paraId="5A3A6C59" w14:textId="77777777" w:rsidTr="002C4CF6">
        <w:trPr>
          <w:trHeight w:val="359"/>
          <w:jc w:val="center"/>
        </w:trPr>
        <w:tc>
          <w:tcPr>
            <w:tcW w:w="4113" w:type="dxa"/>
            <w:shd w:val="clear" w:color="auto" w:fill="auto"/>
            <w:noWrap/>
            <w:vAlign w:val="center"/>
            <w:hideMark/>
          </w:tcPr>
          <w:p w14:paraId="6B23E7C1" w14:textId="77777777" w:rsidR="007D27C9" w:rsidRPr="00C25829" w:rsidRDefault="007D27C9" w:rsidP="002C4CF6">
            <w:pPr>
              <w:pStyle w:val="ListeParagraf"/>
              <w:ind w:left="360"/>
              <w:jc w:val="center"/>
            </w:pPr>
            <w:r w:rsidRPr="00C25829">
              <w:t>PARK</w:t>
            </w:r>
          </w:p>
        </w:tc>
        <w:tc>
          <w:tcPr>
            <w:tcW w:w="1557" w:type="dxa"/>
            <w:shd w:val="clear" w:color="auto" w:fill="auto"/>
            <w:noWrap/>
            <w:vAlign w:val="center"/>
            <w:hideMark/>
          </w:tcPr>
          <w:p w14:paraId="5B7ED18B" w14:textId="77777777" w:rsidR="007D27C9" w:rsidRPr="00C25829" w:rsidRDefault="007D27C9" w:rsidP="002C4CF6">
            <w:pPr>
              <w:pStyle w:val="ListeParagraf"/>
              <w:ind w:left="360"/>
              <w:jc w:val="center"/>
              <w:rPr>
                <w:b/>
                <w:bCs/>
              </w:rPr>
            </w:pPr>
            <w:r w:rsidRPr="00C25829">
              <w:rPr>
                <w:b/>
                <w:bCs/>
              </w:rPr>
              <w:t>6464</w:t>
            </w:r>
          </w:p>
        </w:tc>
        <w:tc>
          <w:tcPr>
            <w:tcW w:w="1619" w:type="dxa"/>
            <w:shd w:val="clear" w:color="auto" w:fill="auto"/>
            <w:noWrap/>
            <w:vAlign w:val="center"/>
            <w:hideMark/>
          </w:tcPr>
          <w:p w14:paraId="2B39BA35" w14:textId="77777777" w:rsidR="007D27C9" w:rsidRPr="00C25829" w:rsidRDefault="007D27C9" w:rsidP="002C4CF6">
            <w:pPr>
              <w:pStyle w:val="ListeParagraf"/>
              <w:ind w:left="360"/>
              <w:jc w:val="center"/>
            </w:pPr>
            <w:r w:rsidRPr="00C25829">
              <w:t>23.0</w:t>
            </w:r>
          </w:p>
        </w:tc>
        <w:tc>
          <w:tcPr>
            <w:tcW w:w="1353" w:type="dxa"/>
            <w:vMerge/>
            <w:shd w:val="clear" w:color="auto" w:fill="auto"/>
            <w:vAlign w:val="center"/>
            <w:hideMark/>
          </w:tcPr>
          <w:p w14:paraId="60A94EA1" w14:textId="77777777" w:rsidR="007D27C9" w:rsidRPr="00C25829" w:rsidRDefault="007D27C9" w:rsidP="002C4CF6">
            <w:pPr>
              <w:pStyle w:val="ListeParagraf"/>
              <w:ind w:left="360"/>
              <w:jc w:val="center"/>
              <w:rPr>
                <w:b/>
                <w:bCs/>
              </w:rPr>
            </w:pPr>
          </w:p>
        </w:tc>
      </w:tr>
      <w:tr w:rsidR="007D27C9" w:rsidRPr="00C25829" w14:paraId="6AD3C1C7" w14:textId="77777777" w:rsidTr="002C4CF6">
        <w:trPr>
          <w:trHeight w:val="359"/>
          <w:jc w:val="center"/>
        </w:trPr>
        <w:tc>
          <w:tcPr>
            <w:tcW w:w="4113" w:type="dxa"/>
            <w:shd w:val="clear" w:color="auto" w:fill="auto"/>
            <w:noWrap/>
            <w:vAlign w:val="center"/>
            <w:hideMark/>
          </w:tcPr>
          <w:p w14:paraId="0E5B87D3" w14:textId="77777777" w:rsidR="007D27C9" w:rsidRPr="00C25829" w:rsidRDefault="007D27C9" w:rsidP="002C4CF6">
            <w:pPr>
              <w:pStyle w:val="ListeParagraf"/>
              <w:ind w:left="360"/>
              <w:jc w:val="center"/>
            </w:pPr>
            <w:r w:rsidRPr="00C25829">
              <w:t>YOL+OP</w:t>
            </w:r>
          </w:p>
        </w:tc>
        <w:tc>
          <w:tcPr>
            <w:tcW w:w="1557" w:type="dxa"/>
            <w:shd w:val="clear" w:color="auto" w:fill="auto"/>
            <w:noWrap/>
            <w:vAlign w:val="center"/>
            <w:hideMark/>
          </w:tcPr>
          <w:p w14:paraId="687655EF" w14:textId="77777777" w:rsidR="007D27C9" w:rsidRPr="00C25829" w:rsidRDefault="007D27C9" w:rsidP="002C4CF6">
            <w:pPr>
              <w:pStyle w:val="ListeParagraf"/>
              <w:ind w:left="360"/>
              <w:jc w:val="center"/>
            </w:pPr>
            <w:r w:rsidRPr="00C25829">
              <w:t>6064</w:t>
            </w:r>
          </w:p>
        </w:tc>
        <w:tc>
          <w:tcPr>
            <w:tcW w:w="1619" w:type="dxa"/>
            <w:shd w:val="clear" w:color="auto" w:fill="auto"/>
            <w:noWrap/>
            <w:vAlign w:val="center"/>
            <w:hideMark/>
          </w:tcPr>
          <w:p w14:paraId="1ECB9914" w14:textId="77777777" w:rsidR="007D27C9" w:rsidRPr="00C25829" w:rsidRDefault="007D27C9" w:rsidP="002C4CF6">
            <w:pPr>
              <w:pStyle w:val="ListeParagraf"/>
              <w:ind w:left="360"/>
              <w:jc w:val="center"/>
            </w:pPr>
            <w:r w:rsidRPr="00C25829">
              <w:t>21.6</w:t>
            </w:r>
          </w:p>
        </w:tc>
        <w:tc>
          <w:tcPr>
            <w:tcW w:w="1353" w:type="dxa"/>
            <w:vMerge/>
            <w:shd w:val="clear" w:color="auto" w:fill="auto"/>
            <w:vAlign w:val="center"/>
            <w:hideMark/>
          </w:tcPr>
          <w:p w14:paraId="03BC5349" w14:textId="77777777" w:rsidR="007D27C9" w:rsidRPr="00C25829" w:rsidRDefault="007D27C9" w:rsidP="002C4CF6">
            <w:pPr>
              <w:pStyle w:val="ListeParagraf"/>
              <w:ind w:left="360"/>
              <w:jc w:val="center"/>
              <w:rPr>
                <w:b/>
                <w:bCs/>
              </w:rPr>
            </w:pPr>
          </w:p>
        </w:tc>
      </w:tr>
      <w:tr w:rsidR="007D27C9" w:rsidRPr="00C25829" w14:paraId="3EFE51CA" w14:textId="77777777" w:rsidTr="002C4CF6">
        <w:trPr>
          <w:trHeight w:val="359"/>
          <w:jc w:val="center"/>
        </w:trPr>
        <w:tc>
          <w:tcPr>
            <w:tcW w:w="4113" w:type="dxa"/>
            <w:shd w:val="clear" w:color="auto" w:fill="auto"/>
            <w:noWrap/>
            <w:vAlign w:val="center"/>
            <w:hideMark/>
          </w:tcPr>
          <w:p w14:paraId="58BDDA37" w14:textId="77777777" w:rsidR="007D27C9" w:rsidRPr="00C25829" w:rsidRDefault="007D27C9" w:rsidP="002C4CF6">
            <w:pPr>
              <w:pStyle w:val="ListeParagraf"/>
              <w:ind w:left="360"/>
              <w:jc w:val="center"/>
            </w:pPr>
            <w:r w:rsidRPr="00C25829">
              <w:t>TEKNİK ALTYAPI</w:t>
            </w:r>
          </w:p>
        </w:tc>
        <w:tc>
          <w:tcPr>
            <w:tcW w:w="1557" w:type="dxa"/>
            <w:shd w:val="clear" w:color="auto" w:fill="auto"/>
            <w:noWrap/>
            <w:vAlign w:val="center"/>
            <w:hideMark/>
          </w:tcPr>
          <w:p w14:paraId="0669519E" w14:textId="77777777" w:rsidR="007D27C9" w:rsidRPr="00C25829" w:rsidRDefault="007D27C9" w:rsidP="002C4CF6">
            <w:pPr>
              <w:pStyle w:val="ListeParagraf"/>
              <w:ind w:left="360"/>
              <w:jc w:val="center"/>
            </w:pPr>
            <w:r w:rsidRPr="00C25829">
              <w:t>0</w:t>
            </w:r>
          </w:p>
        </w:tc>
        <w:tc>
          <w:tcPr>
            <w:tcW w:w="1619" w:type="dxa"/>
            <w:shd w:val="clear" w:color="auto" w:fill="auto"/>
            <w:noWrap/>
            <w:vAlign w:val="center"/>
            <w:hideMark/>
          </w:tcPr>
          <w:p w14:paraId="116CC184" w14:textId="77777777" w:rsidR="007D27C9" w:rsidRPr="00C25829" w:rsidRDefault="007D27C9" w:rsidP="002C4CF6">
            <w:pPr>
              <w:pStyle w:val="ListeParagraf"/>
              <w:ind w:left="360"/>
              <w:jc w:val="center"/>
            </w:pPr>
            <w:r w:rsidRPr="00C25829">
              <w:t>0.0</w:t>
            </w:r>
          </w:p>
        </w:tc>
        <w:tc>
          <w:tcPr>
            <w:tcW w:w="1353" w:type="dxa"/>
            <w:vMerge/>
            <w:shd w:val="clear" w:color="auto" w:fill="auto"/>
            <w:vAlign w:val="center"/>
            <w:hideMark/>
          </w:tcPr>
          <w:p w14:paraId="14489163" w14:textId="77777777" w:rsidR="007D27C9" w:rsidRPr="00C25829" w:rsidRDefault="007D27C9" w:rsidP="002C4CF6">
            <w:pPr>
              <w:pStyle w:val="ListeParagraf"/>
              <w:ind w:left="360"/>
              <w:jc w:val="center"/>
              <w:rPr>
                <w:b/>
                <w:bCs/>
              </w:rPr>
            </w:pPr>
          </w:p>
        </w:tc>
      </w:tr>
      <w:tr w:rsidR="007D27C9" w:rsidRPr="00C25829" w14:paraId="4A4ABC78" w14:textId="77777777" w:rsidTr="002C4CF6">
        <w:trPr>
          <w:trHeight w:val="378"/>
          <w:jc w:val="center"/>
        </w:trPr>
        <w:tc>
          <w:tcPr>
            <w:tcW w:w="4113" w:type="dxa"/>
            <w:shd w:val="clear" w:color="auto" w:fill="auto"/>
            <w:noWrap/>
            <w:vAlign w:val="center"/>
            <w:hideMark/>
          </w:tcPr>
          <w:p w14:paraId="3D948F85" w14:textId="77777777" w:rsidR="007D27C9" w:rsidRPr="00C25829" w:rsidRDefault="007D27C9" w:rsidP="002C4CF6">
            <w:pPr>
              <w:pStyle w:val="ListeParagraf"/>
              <w:ind w:left="360"/>
              <w:jc w:val="center"/>
              <w:rPr>
                <w:b/>
                <w:bCs/>
              </w:rPr>
            </w:pPr>
            <w:r w:rsidRPr="00C25829">
              <w:rPr>
                <w:b/>
                <w:bCs/>
              </w:rPr>
              <w:t>TOPLAM ALAN</w:t>
            </w:r>
          </w:p>
        </w:tc>
        <w:tc>
          <w:tcPr>
            <w:tcW w:w="1557" w:type="dxa"/>
            <w:shd w:val="clear" w:color="auto" w:fill="auto"/>
            <w:noWrap/>
            <w:vAlign w:val="center"/>
            <w:hideMark/>
          </w:tcPr>
          <w:p w14:paraId="0752B2B1" w14:textId="77777777" w:rsidR="007D27C9" w:rsidRPr="00C25829" w:rsidRDefault="007D27C9" w:rsidP="002C4CF6">
            <w:pPr>
              <w:pStyle w:val="ListeParagraf"/>
              <w:ind w:left="360"/>
              <w:jc w:val="center"/>
              <w:rPr>
                <w:b/>
                <w:bCs/>
              </w:rPr>
            </w:pPr>
            <w:r w:rsidRPr="00C25829">
              <w:rPr>
                <w:b/>
                <w:bCs/>
              </w:rPr>
              <w:t>28104</w:t>
            </w:r>
          </w:p>
        </w:tc>
        <w:tc>
          <w:tcPr>
            <w:tcW w:w="1619" w:type="dxa"/>
            <w:shd w:val="clear" w:color="auto" w:fill="auto"/>
            <w:noWrap/>
            <w:vAlign w:val="center"/>
            <w:hideMark/>
          </w:tcPr>
          <w:p w14:paraId="0A9DEDD2" w14:textId="77777777" w:rsidR="007D27C9" w:rsidRPr="00C25829" w:rsidRDefault="007D27C9" w:rsidP="002C4CF6">
            <w:pPr>
              <w:pStyle w:val="ListeParagraf"/>
              <w:ind w:left="360"/>
              <w:jc w:val="center"/>
              <w:rPr>
                <w:b/>
                <w:bCs/>
              </w:rPr>
            </w:pPr>
            <w:r w:rsidRPr="00C25829">
              <w:rPr>
                <w:b/>
                <w:bCs/>
              </w:rPr>
              <w:t>100</w:t>
            </w:r>
          </w:p>
        </w:tc>
        <w:tc>
          <w:tcPr>
            <w:tcW w:w="1353" w:type="dxa"/>
            <w:shd w:val="clear" w:color="auto" w:fill="auto"/>
            <w:noWrap/>
            <w:vAlign w:val="center"/>
            <w:hideMark/>
          </w:tcPr>
          <w:p w14:paraId="67B949A2" w14:textId="77777777" w:rsidR="007D27C9" w:rsidRPr="00C25829" w:rsidRDefault="007D27C9" w:rsidP="002C4CF6">
            <w:pPr>
              <w:pStyle w:val="ListeParagraf"/>
              <w:ind w:left="360"/>
              <w:jc w:val="center"/>
              <w:rPr>
                <w:b/>
                <w:bCs/>
              </w:rPr>
            </w:pPr>
            <w:r w:rsidRPr="00C25829">
              <w:rPr>
                <w:b/>
                <w:bCs/>
              </w:rPr>
              <w:t>100</w:t>
            </w:r>
          </w:p>
        </w:tc>
      </w:tr>
    </w:tbl>
    <w:p w14:paraId="302D21A9" w14:textId="77777777" w:rsidR="007D27C9" w:rsidRPr="00C25829" w:rsidRDefault="007D27C9" w:rsidP="007D27C9">
      <w:pPr>
        <w:spacing w:line="276" w:lineRule="auto"/>
        <w:ind w:right="-1"/>
        <w:rPr>
          <w:sz w:val="22"/>
          <w:szCs w:val="22"/>
        </w:rPr>
      </w:pPr>
    </w:p>
    <w:p w14:paraId="4E71109C" w14:textId="77777777" w:rsidR="007D27C9" w:rsidRPr="00C25829" w:rsidRDefault="007D27C9" w:rsidP="007D27C9">
      <w:pPr>
        <w:pStyle w:val="ListeParagraf"/>
        <w:numPr>
          <w:ilvl w:val="0"/>
          <w:numId w:val="24"/>
        </w:numPr>
        <w:spacing w:line="276" w:lineRule="auto"/>
        <w:ind w:right="-1"/>
        <w:contextualSpacing/>
        <w:jc w:val="both"/>
      </w:pPr>
      <w:r w:rsidRPr="00C25829">
        <w:t xml:space="preserve">Söz konusu imar planının aşağıdaki plan notlarının önerildiği, </w:t>
      </w:r>
    </w:p>
    <w:p w14:paraId="6296FDB2" w14:textId="77777777" w:rsidR="007D27C9" w:rsidRPr="00C25829" w:rsidRDefault="007D27C9" w:rsidP="007D27C9">
      <w:pPr>
        <w:spacing w:line="276" w:lineRule="auto"/>
        <w:ind w:right="-1"/>
        <w:rPr>
          <w:sz w:val="22"/>
          <w:szCs w:val="22"/>
        </w:rPr>
      </w:pPr>
    </w:p>
    <w:p w14:paraId="558F8B60" w14:textId="77777777" w:rsidR="007D27C9" w:rsidRPr="00C25829" w:rsidRDefault="007D27C9" w:rsidP="007D27C9">
      <w:pPr>
        <w:numPr>
          <w:ilvl w:val="0"/>
          <w:numId w:val="33"/>
        </w:numPr>
        <w:spacing w:line="276" w:lineRule="auto"/>
        <w:ind w:right="-1"/>
        <w:jc w:val="both"/>
        <w:rPr>
          <w:sz w:val="22"/>
          <w:szCs w:val="22"/>
        </w:rPr>
      </w:pPr>
      <w:r w:rsidRPr="00C25829">
        <w:rPr>
          <w:sz w:val="22"/>
          <w:szCs w:val="22"/>
        </w:rPr>
        <w:t>İmar planı, plan hükümleri ve plan açıklama raporu ile bir bütündür.</w:t>
      </w:r>
    </w:p>
    <w:p w14:paraId="7EE2C96C" w14:textId="77777777" w:rsidR="007D27C9" w:rsidRPr="00C25829" w:rsidRDefault="007D27C9" w:rsidP="007D27C9">
      <w:pPr>
        <w:numPr>
          <w:ilvl w:val="0"/>
          <w:numId w:val="33"/>
        </w:numPr>
        <w:spacing w:line="276" w:lineRule="auto"/>
        <w:ind w:right="-1"/>
        <w:jc w:val="both"/>
        <w:rPr>
          <w:sz w:val="22"/>
          <w:szCs w:val="22"/>
        </w:rPr>
      </w:pPr>
      <w:r w:rsidRPr="00C25829">
        <w:rPr>
          <w:sz w:val="22"/>
          <w:szCs w:val="22"/>
        </w:rPr>
        <w:t xml:space="preserve">İnşaat aşamasında, Ankara Çevre, Şehircilik ve İklim Değişikliği İl Müdürlüğü tarafından 28.12.2017 tarihinde onaylanan, planlama alanına ilişkin imar planına esas jeolojik ve </w:t>
      </w:r>
      <w:proofErr w:type="spellStart"/>
      <w:r w:rsidRPr="00C25829">
        <w:rPr>
          <w:sz w:val="22"/>
          <w:szCs w:val="22"/>
        </w:rPr>
        <w:t>jeoteknik</w:t>
      </w:r>
      <w:proofErr w:type="spellEnd"/>
      <w:r w:rsidRPr="00C25829">
        <w:rPr>
          <w:sz w:val="22"/>
          <w:szCs w:val="22"/>
        </w:rPr>
        <w:t xml:space="preserve"> etüt raporunun sonuç ve öneriler bölümünde belirtilen önlemlerin alınması zorunludur.</w:t>
      </w:r>
    </w:p>
    <w:p w14:paraId="5D56357C" w14:textId="77777777" w:rsidR="007D27C9" w:rsidRPr="00C25829" w:rsidRDefault="007D27C9" w:rsidP="007D27C9">
      <w:pPr>
        <w:numPr>
          <w:ilvl w:val="0"/>
          <w:numId w:val="33"/>
        </w:numPr>
        <w:spacing w:line="276" w:lineRule="auto"/>
        <w:ind w:right="-1"/>
        <w:jc w:val="both"/>
        <w:rPr>
          <w:sz w:val="22"/>
          <w:szCs w:val="22"/>
        </w:rPr>
      </w:pPr>
      <w:r w:rsidRPr="00C25829">
        <w:rPr>
          <w:sz w:val="22"/>
          <w:szCs w:val="22"/>
        </w:rPr>
        <w:t xml:space="preserve">Parseller genellikle yoldan </w:t>
      </w:r>
      <w:proofErr w:type="spellStart"/>
      <w:r w:rsidRPr="00C25829">
        <w:rPr>
          <w:sz w:val="22"/>
          <w:szCs w:val="22"/>
        </w:rPr>
        <w:t>kotlandırılacaktır</w:t>
      </w:r>
      <w:proofErr w:type="spellEnd"/>
      <w:r w:rsidRPr="00C25829">
        <w:rPr>
          <w:sz w:val="22"/>
          <w:szCs w:val="22"/>
        </w:rPr>
        <w:t xml:space="preserve">. Bazı parsellerde topografya özelliklerinden dolayı yol ile parsel zemini arasında daha uyumlu bir ilişki kurmak amacıyla tabi zeminden </w:t>
      </w:r>
      <w:proofErr w:type="spellStart"/>
      <w:r w:rsidRPr="00C25829">
        <w:rPr>
          <w:sz w:val="22"/>
          <w:szCs w:val="22"/>
        </w:rPr>
        <w:t>kotlandırılabilir</w:t>
      </w:r>
      <w:proofErr w:type="spellEnd"/>
      <w:r w:rsidRPr="00C25829">
        <w:rPr>
          <w:sz w:val="22"/>
          <w:szCs w:val="22"/>
        </w:rPr>
        <w:t>. Buna ilgili belediyenin ilgili birimi yetkilidir.</w:t>
      </w:r>
    </w:p>
    <w:p w14:paraId="4F4EBCA0" w14:textId="77777777" w:rsidR="007D27C9" w:rsidRPr="00C25829" w:rsidRDefault="007D27C9" w:rsidP="007D27C9">
      <w:pPr>
        <w:numPr>
          <w:ilvl w:val="0"/>
          <w:numId w:val="33"/>
        </w:numPr>
        <w:spacing w:line="276" w:lineRule="auto"/>
        <w:ind w:right="-1"/>
        <w:jc w:val="both"/>
        <w:rPr>
          <w:sz w:val="22"/>
          <w:szCs w:val="22"/>
        </w:rPr>
      </w:pPr>
      <w:r w:rsidRPr="00C25829">
        <w:rPr>
          <w:sz w:val="22"/>
          <w:szCs w:val="22"/>
        </w:rPr>
        <w:t>Planda ve plan hükümlerinde belirtilmeyen hususlarda;</w:t>
      </w:r>
    </w:p>
    <w:p w14:paraId="1AA71327" w14:textId="77777777" w:rsidR="007D27C9" w:rsidRPr="00C25829" w:rsidRDefault="007D27C9" w:rsidP="007D27C9">
      <w:pPr>
        <w:numPr>
          <w:ilvl w:val="1"/>
          <w:numId w:val="33"/>
        </w:numPr>
        <w:spacing w:line="276" w:lineRule="auto"/>
        <w:ind w:right="-1"/>
        <w:jc w:val="both"/>
        <w:rPr>
          <w:sz w:val="22"/>
          <w:szCs w:val="22"/>
        </w:rPr>
      </w:pPr>
      <w:r w:rsidRPr="00C25829">
        <w:rPr>
          <w:sz w:val="22"/>
          <w:szCs w:val="22"/>
        </w:rPr>
        <w:t xml:space="preserve">3194 Sayılı İmar Kanunu ve ilgili yönetmelik hükümleri, </w:t>
      </w:r>
    </w:p>
    <w:p w14:paraId="16968E85" w14:textId="77777777" w:rsidR="007D27C9" w:rsidRPr="00C25829" w:rsidRDefault="007D27C9" w:rsidP="007D27C9">
      <w:pPr>
        <w:numPr>
          <w:ilvl w:val="1"/>
          <w:numId w:val="33"/>
        </w:numPr>
        <w:spacing w:line="276" w:lineRule="auto"/>
        <w:ind w:right="-1"/>
        <w:jc w:val="both"/>
        <w:rPr>
          <w:sz w:val="22"/>
          <w:szCs w:val="22"/>
        </w:rPr>
      </w:pPr>
      <w:r w:rsidRPr="00C25829">
        <w:rPr>
          <w:sz w:val="22"/>
          <w:szCs w:val="22"/>
        </w:rPr>
        <w:t>Konusu ve ilgisine göre yürürlükteki diğer mevzuat hükümleri,</w:t>
      </w:r>
    </w:p>
    <w:p w14:paraId="28E64581" w14:textId="77777777" w:rsidR="007D27C9" w:rsidRPr="00C25829" w:rsidRDefault="007D27C9" w:rsidP="007D27C9">
      <w:pPr>
        <w:numPr>
          <w:ilvl w:val="1"/>
          <w:numId w:val="33"/>
        </w:numPr>
        <w:spacing w:line="276" w:lineRule="auto"/>
        <w:ind w:right="-1"/>
        <w:jc w:val="both"/>
        <w:rPr>
          <w:sz w:val="22"/>
          <w:szCs w:val="22"/>
        </w:rPr>
      </w:pPr>
      <w:r w:rsidRPr="00C25829">
        <w:rPr>
          <w:sz w:val="22"/>
          <w:szCs w:val="22"/>
        </w:rPr>
        <w:t>1/5000 ölçekli nazım imar planı ile yürürlükteki imar planı notları,</w:t>
      </w:r>
    </w:p>
    <w:p w14:paraId="250540C1" w14:textId="77777777" w:rsidR="007D27C9" w:rsidRPr="00C25829" w:rsidRDefault="007D27C9" w:rsidP="007D27C9">
      <w:pPr>
        <w:numPr>
          <w:ilvl w:val="1"/>
          <w:numId w:val="33"/>
        </w:numPr>
        <w:spacing w:line="276" w:lineRule="auto"/>
        <w:ind w:right="-1"/>
        <w:jc w:val="both"/>
        <w:rPr>
          <w:sz w:val="22"/>
          <w:szCs w:val="22"/>
        </w:rPr>
      </w:pPr>
      <w:r w:rsidRPr="00C25829">
        <w:rPr>
          <w:sz w:val="22"/>
          <w:szCs w:val="22"/>
        </w:rPr>
        <w:t>Ankara Büyükşehir Belediyesi İmar Yönetmeliği hükümleri geçerlidir.</w:t>
      </w:r>
    </w:p>
    <w:p w14:paraId="5591EC40" w14:textId="5B5A9911" w:rsidR="007D27C9" w:rsidRDefault="007D27C9" w:rsidP="007D27C9">
      <w:pPr>
        <w:numPr>
          <w:ilvl w:val="0"/>
          <w:numId w:val="33"/>
        </w:numPr>
        <w:spacing w:line="276" w:lineRule="auto"/>
        <w:ind w:right="-1"/>
        <w:jc w:val="both"/>
        <w:rPr>
          <w:sz w:val="22"/>
          <w:szCs w:val="22"/>
        </w:rPr>
      </w:pPr>
      <w:r w:rsidRPr="00C25829">
        <w:rPr>
          <w:sz w:val="22"/>
          <w:szCs w:val="22"/>
        </w:rPr>
        <w:t xml:space="preserve">Türkiye Elektrik İletim A.Ş. (TEAİŞ)’a ait enerji iletim tesisleri yakınında ve çevresinde yapılacak her türlü proje, uygulama ve inşaat öncesinde Türkiye Elektrik İletim A.Ş. (TEİAŞ) görüşü alınacaktır. </w:t>
      </w:r>
    </w:p>
    <w:p w14:paraId="3DAF0428" w14:textId="7E3F4A58" w:rsidR="007D27C9" w:rsidRDefault="007D27C9" w:rsidP="007D27C9">
      <w:pPr>
        <w:spacing w:line="276" w:lineRule="auto"/>
        <w:ind w:left="720" w:right="-1"/>
        <w:jc w:val="both"/>
        <w:rPr>
          <w:sz w:val="22"/>
          <w:szCs w:val="22"/>
        </w:rPr>
      </w:pPr>
    </w:p>
    <w:p w14:paraId="5D140DAD" w14:textId="77777777" w:rsidR="007D27C9" w:rsidRPr="00C25829" w:rsidRDefault="007D27C9" w:rsidP="007D27C9">
      <w:pPr>
        <w:spacing w:line="276" w:lineRule="auto"/>
        <w:ind w:left="720" w:right="-1"/>
        <w:jc w:val="both"/>
        <w:rPr>
          <w:sz w:val="22"/>
          <w:szCs w:val="22"/>
        </w:rPr>
      </w:pPr>
    </w:p>
    <w:p w14:paraId="5A213FAC" w14:textId="77777777" w:rsidR="007D27C9" w:rsidRPr="00C25829" w:rsidRDefault="007D27C9" w:rsidP="00B83248">
      <w:pPr>
        <w:numPr>
          <w:ilvl w:val="0"/>
          <w:numId w:val="33"/>
        </w:numPr>
        <w:spacing w:line="276" w:lineRule="auto"/>
        <w:ind w:right="-1"/>
        <w:jc w:val="both"/>
        <w:rPr>
          <w:sz w:val="22"/>
          <w:szCs w:val="22"/>
        </w:rPr>
      </w:pPr>
      <w:r w:rsidRPr="00C25829">
        <w:rPr>
          <w:sz w:val="22"/>
          <w:szCs w:val="22"/>
        </w:rPr>
        <w:t xml:space="preserve">“TEİAŞ enerji iletim hattı altındaki yapılaşmalarda 30.11.2000 tarihli ve 24246 sayılı </w:t>
      </w:r>
      <w:proofErr w:type="gramStart"/>
      <w:r w:rsidRPr="00C25829">
        <w:rPr>
          <w:sz w:val="22"/>
          <w:szCs w:val="22"/>
        </w:rPr>
        <w:t>resmi</w:t>
      </w:r>
      <w:proofErr w:type="gramEnd"/>
      <w:r w:rsidRPr="00C25829">
        <w:rPr>
          <w:sz w:val="22"/>
          <w:szCs w:val="22"/>
        </w:rPr>
        <w:t xml:space="preserve"> </w:t>
      </w:r>
      <w:proofErr w:type="spellStart"/>
      <w:r w:rsidRPr="00C25829">
        <w:rPr>
          <w:sz w:val="22"/>
          <w:szCs w:val="22"/>
        </w:rPr>
        <w:t>gazete’de</w:t>
      </w:r>
      <w:proofErr w:type="spellEnd"/>
      <w:r w:rsidRPr="00C25829">
        <w:rPr>
          <w:sz w:val="22"/>
          <w:szCs w:val="22"/>
        </w:rPr>
        <w:t xml:space="preserve"> yayımlanan elektrik kuvvetli akım tesisleri (</w:t>
      </w:r>
      <w:proofErr w:type="spellStart"/>
      <w:r w:rsidRPr="00C25829">
        <w:rPr>
          <w:sz w:val="22"/>
          <w:szCs w:val="22"/>
        </w:rPr>
        <w:t>ekat</w:t>
      </w:r>
      <w:proofErr w:type="spellEnd"/>
      <w:r w:rsidRPr="00C25829">
        <w:rPr>
          <w:sz w:val="22"/>
          <w:szCs w:val="22"/>
        </w:rPr>
        <w:t>) yönetmeliği hükümlerine uyulacaktır.</w:t>
      </w:r>
    </w:p>
    <w:p w14:paraId="48947CF4" w14:textId="77777777" w:rsidR="007D27C9" w:rsidRPr="00C25829" w:rsidRDefault="007D27C9" w:rsidP="00B83248">
      <w:pPr>
        <w:numPr>
          <w:ilvl w:val="0"/>
          <w:numId w:val="33"/>
        </w:numPr>
        <w:spacing w:line="276" w:lineRule="auto"/>
        <w:ind w:right="-1"/>
        <w:jc w:val="both"/>
        <w:rPr>
          <w:sz w:val="22"/>
          <w:szCs w:val="22"/>
        </w:rPr>
      </w:pPr>
      <w:r w:rsidRPr="00C25829">
        <w:rPr>
          <w:sz w:val="22"/>
          <w:szCs w:val="22"/>
        </w:rPr>
        <w:t>Otopark ihtiyacı parsel içerisinde karşılanacaktır.</w:t>
      </w:r>
    </w:p>
    <w:p w14:paraId="038A83D2" w14:textId="75575B46" w:rsidR="007D27C9" w:rsidRPr="00C25829" w:rsidRDefault="007D27C9" w:rsidP="00B83248">
      <w:pPr>
        <w:numPr>
          <w:ilvl w:val="0"/>
          <w:numId w:val="33"/>
        </w:numPr>
        <w:spacing w:line="276" w:lineRule="auto"/>
        <w:ind w:right="-1"/>
        <w:jc w:val="both"/>
        <w:rPr>
          <w:sz w:val="22"/>
          <w:szCs w:val="22"/>
        </w:rPr>
      </w:pPr>
      <w:r w:rsidRPr="00C25829">
        <w:rPr>
          <w:sz w:val="22"/>
          <w:szCs w:val="22"/>
        </w:rPr>
        <w:t xml:space="preserve">Parselasyon planında </w:t>
      </w:r>
      <w:bookmarkStart w:id="1" w:name="_GoBack"/>
      <w:bookmarkEnd w:id="1"/>
      <w:r w:rsidRPr="00C25829">
        <w:rPr>
          <w:sz w:val="22"/>
          <w:szCs w:val="22"/>
        </w:rPr>
        <w:t xml:space="preserve">3194 Sayılı İmar Kanunun 18. maddesi ve bu madde hükmüne göre yürürlükte olan ‘Arazi Ve Arsa Düzenlemesi Yönetmeliği’nin ilgili hükümlerine uygulanacaktır. İmar uygulaması etap sınırı plan üzerinde belirlenmiş olmakla birlikte çevre planlarla bütünleştirmek veya DOP oranlarını dengelemek amacıyla düzenlemeye belediyesi yetkilidir. </w:t>
      </w:r>
    </w:p>
    <w:p w14:paraId="73EFC755" w14:textId="77777777" w:rsidR="007D27C9" w:rsidRPr="00C25829" w:rsidRDefault="007D27C9" w:rsidP="00B83248">
      <w:pPr>
        <w:numPr>
          <w:ilvl w:val="0"/>
          <w:numId w:val="33"/>
        </w:numPr>
        <w:spacing w:line="276" w:lineRule="auto"/>
        <w:ind w:right="-1"/>
        <w:jc w:val="both"/>
        <w:rPr>
          <w:sz w:val="22"/>
          <w:szCs w:val="22"/>
        </w:rPr>
      </w:pPr>
      <w:r w:rsidRPr="00C25829">
        <w:rPr>
          <w:sz w:val="22"/>
          <w:szCs w:val="22"/>
        </w:rPr>
        <w:t>“2565 Sayılı Kanun ve Yönetmelikleri” ile "Mania Planı Kriterlerine” uyulacaktır.</w:t>
      </w:r>
    </w:p>
    <w:p w14:paraId="50BF02FC" w14:textId="77777777" w:rsidR="007D27C9" w:rsidRPr="00C25829" w:rsidRDefault="007D27C9" w:rsidP="00B83248">
      <w:pPr>
        <w:numPr>
          <w:ilvl w:val="0"/>
          <w:numId w:val="33"/>
        </w:numPr>
        <w:spacing w:line="276" w:lineRule="auto"/>
        <w:ind w:right="-1"/>
        <w:jc w:val="both"/>
        <w:rPr>
          <w:sz w:val="22"/>
          <w:szCs w:val="22"/>
        </w:rPr>
      </w:pPr>
      <w:r w:rsidRPr="00C25829">
        <w:rPr>
          <w:sz w:val="22"/>
          <w:szCs w:val="22"/>
        </w:rPr>
        <w:t xml:space="preserve">"Yeraltı Suları Hakkında Kanun", 07.04.2012 tarih ve 28257 sayılı </w:t>
      </w:r>
      <w:proofErr w:type="gramStart"/>
      <w:r w:rsidRPr="00C25829">
        <w:rPr>
          <w:sz w:val="22"/>
          <w:szCs w:val="22"/>
        </w:rPr>
        <w:t>Resmi</w:t>
      </w:r>
      <w:proofErr w:type="gramEnd"/>
      <w:r w:rsidRPr="00C25829">
        <w:rPr>
          <w:sz w:val="22"/>
          <w:szCs w:val="22"/>
        </w:rPr>
        <w:t xml:space="preserve"> </w:t>
      </w:r>
      <w:proofErr w:type="spellStart"/>
      <w:r w:rsidRPr="00C25829">
        <w:rPr>
          <w:sz w:val="22"/>
          <w:szCs w:val="22"/>
        </w:rPr>
        <w:t>Gazete'de</w:t>
      </w:r>
      <w:proofErr w:type="spellEnd"/>
      <w:r w:rsidRPr="00C25829">
        <w:rPr>
          <w:sz w:val="22"/>
          <w:szCs w:val="22"/>
        </w:rPr>
        <w:t xml:space="preserve"> yayımlanan "Yeraltı Sularının Kirlenmeye ve Bozulmaya Karşı Korunması Hakkında Yönetmelik", "Su Kirliliği Kontrolü Yönetmeliği", Taşkın ve </w:t>
      </w:r>
      <w:proofErr w:type="spellStart"/>
      <w:r w:rsidRPr="00C25829">
        <w:rPr>
          <w:sz w:val="22"/>
          <w:szCs w:val="22"/>
        </w:rPr>
        <w:t>Rusubat</w:t>
      </w:r>
      <w:proofErr w:type="spellEnd"/>
      <w:r w:rsidRPr="00C25829">
        <w:rPr>
          <w:sz w:val="22"/>
          <w:szCs w:val="22"/>
        </w:rPr>
        <w:t xml:space="preserve"> Kontrolü Yönetmeliği hükümlerine uyulacaktır.</w:t>
      </w:r>
    </w:p>
    <w:p w14:paraId="4AE2682B" w14:textId="77777777" w:rsidR="007D27C9" w:rsidRPr="00C25829" w:rsidRDefault="007D27C9" w:rsidP="00B83248">
      <w:pPr>
        <w:numPr>
          <w:ilvl w:val="0"/>
          <w:numId w:val="33"/>
        </w:numPr>
        <w:spacing w:line="276" w:lineRule="auto"/>
        <w:ind w:right="-1"/>
        <w:jc w:val="both"/>
        <w:rPr>
          <w:sz w:val="22"/>
          <w:szCs w:val="22"/>
        </w:rPr>
      </w:pPr>
      <w:r w:rsidRPr="00C25829">
        <w:rPr>
          <w:sz w:val="22"/>
          <w:szCs w:val="22"/>
        </w:rPr>
        <w:t>Karayolları Trafik Kanunu ve Karayolları Kenarında Yapılacak ve Açılacak Tesisler Hakkında Yönetmelik Hükümlerine uyulacaktır.</w:t>
      </w:r>
    </w:p>
    <w:p w14:paraId="6AC325AA" w14:textId="77777777" w:rsidR="007D27C9" w:rsidRPr="00C25829" w:rsidRDefault="007D27C9" w:rsidP="00B83248">
      <w:pPr>
        <w:numPr>
          <w:ilvl w:val="0"/>
          <w:numId w:val="33"/>
        </w:numPr>
        <w:spacing w:line="276" w:lineRule="auto"/>
        <w:ind w:right="-1"/>
        <w:jc w:val="both"/>
        <w:rPr>
          <w:sz w:val="22"/>
          <w:szCs w:val="22"/>
        </w:rPr>
      </w:pPr>
      <w:proofErr w:type="spellStart"/>
      <w:r w:rsidRPr="00C25829">
        <w:rPr>
          <w:sz w:val="22"/>
          <w:szCs w:val="22"/>
        </w:rPr>
        <w:t>Kotlandırma</w:t>
      </w:r>
      <w:proofErr w:type="spellEnd"/>
      <w:r w:rsidRPr="00C25829">
        <w:rPr>
          <w:sz w:val="22"/>
          <w:szCs w:val="22"/>
        </w:rPr>
        <w:t xml:space="preserve"> öncelikli olarak parselin cephe aldığı geniş yollardan yapılacaktır. Yolların eşit olması durumunda veya arsanın eğimli olması durumunda yüksek yoldan veya tabi zeminden </w:t>
      </w:r>
      <w:proofErr w:type="spellStart"/>
      <w:r w:rsidRPr="00C25829">
        <w:rPr>
          <w:sz w:val="22"/>
          <w:szCs w:val="22"/>
        </w:rPr>
        <w:t>kotlandırma</w:t>
      </w:r>
      <w:proofErr w:type="spellEnd"/>
      <w:r w:rsidRPr="00C25829">
        <w:rPr>
          <w:sz w:val="22"/>
          <w:szCs w:val="22"/>
        </w:rPr>
        <w:t xml:space="preserve"> yapılabilir.</w:t>
      </w:r>
    </w:p>
    <w:p w14:paraId="5B88E81D" w14:textId="77777777" w:rsidR="007D27C9" w:rsidRPr="00C25829" w:rsidRDefault="007D27C9" w:rsidP="00B83248">
      <w:pPr>
        <w:numPr>
          <w:ilvl w:val="0"/>
          <w:numId w:val="33"/>
        </w:numPr>
        <w:spacing w:line="276" w:lineRule="auto"/>
        <w:ind w:right="-1"/>
        <w:jc w:val="both"/>
        <w:rPr>
          <w:b/>
          <w:bCs/>
          <w:sz w:val="22"/>
          <w:szCs w:val="22"/>
        </w:rPr>
      </w:pPr>
      <w:r w:rsidRPr="00C25829">
        <w:rPr>
          <w:b/>
          <w:bCs/>
          <w:sz w:val="22"/>
          <w:szCs w:val="22"/>
        </w:rPr>
        <w:t>Gelişme Konut Alanları:</w:t>
      </w:r>
    </w:p>
    <w:p w14:paraId="2E3D75F4" w14:textId="60499413" w:rsidR="007D27C9" w:rsidRPr="00C25829" w:rsidRDefault="007D27C9" w:rsidP="00B83248">
      <w:pPr>
        <w:pStyle w:val="ListeParagraf"/>
        <w:ind w:right="-1"/>
        <w:jc w:val="both"/>
        <w:rPr>
          <w:rFonts w:ascii="Nirmala UI" w:hAnsi="Nirmala UI" w:cs="Nirmala UI"/>
        </w:rPr>
      </w:pPr>
      <w:r w:rsidRPr="00C25829">
        <w:t xml:space="preserve">Gelişme Konut Alanlarında brüt nüfus yoğunluğu 120 kişi/ha., Emsal= 1.25 ve </w:t>
      </w:r>
      <w:proofErr w:type="spellStart"/>
      <w:r w:rsidRPr="00C25829">
        <w:t>Yençok</w:t>
      </w:r>
      <w:proofErr w:type="spellEnd"/>
      <w:r w:rsidRPr="00C25829">
        <w:t>=16 kattır. Minimum parsel büyüklüğü 2500 m²’dir. Brüt yoğunluk üzerinden yapılan hesaplamaya göre daire sayısı emsal inşaat alanının 100 m²’ye bölünmesi ile bulunur.</w:t>
      </w:r>
    </w:p>
    <w:p w14:paraId="06E2EE2E" w14:textId="77777777" w:rsidR="007D27C9" w:rsidRPr="00C25829" w:rsidRDefault="007D27C9" w:rsidP="00B83248">
      <w:pPr>
        <w:numPr>
          <w:ilvl w:val="0"/>
          <w:numId w:val="33"/>
        </w:numPr>
        <w:spacing w:line="276" w:lineRule="auto"/>
        <w:ind w:right="-1"/>
        <w:jc w:val="both"/>
        <w:rPr>
          <w:b/>
          <w:bCs/>
          <w:sz w:val="22"/>
          <w:szCs w:val="22"/>
        </w:rPr>
      </w:pPr>
      <w:bookmarkStart w:id="2" w:name="_Hlk177373723"/>
      <w:r w:rsidRPr="00C25829">
        <w:rPr>
          <w:b/>
          <w:bCs/>
          <w:sz w:val="22"/>
          <w:szCs w:val="22"/>
        </w:rPr>
        <w:t>Kentsel Çalışma Alanları:</w:t>
      </w:r>
    </w:p>
    <w:p w14:paraId="4AD81AB3" w14:textId="77777777" w:rsidR="007D27C9" w:rsidRPr="00C25829" w:rsidRDefault="007D27C9" w:rsidP="00B83248">
      <w:pPr>
        <w:spacing w:line="276" w:lineRule="auto"/>
        <w:ind w:left="720" w:right="-1"/>
        <w:jc w:val="both"/>
        <w:rPr>
          <w:sz w:val="22"/>
          <w:szCs w:val="22"/>
        </w:rPr>
      </w:pPr>
      <w:r w:rsidRPr="00C25829">
        <w:rPr>
          <w:sz w:val="22"/>
          <w:szCs w:val="22"/>
        </w:rPr>
        <w:t xml:space="preserve">Ticaret Alanları bu kapsamdadır. Bu alanlarda Emsal= 1.50 ve </w:t>
      </w:r>
      <w:proofErr w:type="spellStart"/>
      <w:r w:rsidRPr="00C25829">
        <w:rPr>
          <w:sz w:val="22"/>
          <w:szCs w:val="22"/>
        </w:rPr>
        <w:t>Yençok</w:t>
      </w:r>
      <w:proofErr w:type="spellEnd"/>
      <w:r w:rsidRPr="00C25829">
        <w:rPr>
          <w:sz w:val="22"/>
          <w:szCs w:val="22"/>
        </w:rPr>
        <w:t xml:space="preserve">= 5 kat olacaktır. Ticaret Alanlarında günlük ihtiyaca cevap verecek ticari birimler ile iş merkezleri ve bürolar başta olmak üzere diğer ticari kullanımlar yer alabilir. </w:t>
      </w:r>
      <w:bookmarkEnd w:id="2"/>
    </w:p>
    <w:p w14:paraId="5F852383" w14:textId="77777777" w:rsidR="007D27C9" w:rsidRPr="00C25829" w:rsidRDefault="007D27C9" w:rsidP="007D27C9">
      <w:pPr>
        <w:spacing w:line="276" w:lineRule="auto"/>
        <w:ind w:left="720" w:right="-1"/>
        <w:rPr>
          <w:b/>
          <w:bCs/>
          <w:sz w:val="22"/>
          <w:szCs w:val="22"/>
        </w:rPr>
      </w:pPr>
    </w:p>
    <w:p w14:paraId="11B0344E" w14:textId="77777777" w:rsidR="007D27C9" w:rsidRPr="00C25829" w:rsidRDefault="007D27C9" w:rsidP="007D27C9">
      <w:pPr>
        <w:pStyle w:val="ListeParagraf"/>
        <w:numPr>
          <w:ilvl w:val="0"/>
          <w:numId w:val="24"/>
        </w:numPr>
        <w:spacing w:after="160" w:line="259" w:lineRule="auto"/>
        <w:contextualSpacing/>
        <w:jc w:val="both"/>
      </w:pPr>
      <w:r w:rsidRPr="00C25829">
        <w:t xml:space="preserve">Şeklinde 14 adet plan notu eklenmek suretiyle hazırlanan söz konusu </w:t>
      </w:r>
      <w:r w:rsidRPr="00C25829">
        <w:rPr>
          <w:b/>
          <w:bCs/>
          <w:i/>
          <w:iCs/>
        </w:rPr>
        <w:t xml:space="preserve">“Sincan İlçesi, Alagöz Mahallesi 613 Ada 1 Parsele Yönelik 1/1000 ölçekli Uygulama İmar Planı” </w:t>
      </w:r>
      <w:proofErr w:type="spellStart"/>
      <w:r w:rsidRPr="00C25829">
        <w:t>nın</w:t>
      </w:r>
      <w:proofErr w:type="spellEnd"/>
      <w:r w:rsidRPr="00C25829">
        <w:t xml:space="preserve"> teknik olarak detaylıca incelenebilmesi için </w:t>
      </w:r>
      <w:r w:rsidRPr="00C25829">
        <w:rPr>
          <w:b/>
          <w:bCs/>
        </w:rPr>
        <w:t>önümüzdeki ay görüşülmesi</w:t>
      </w:r>
      <w:r w:rsidRPr="00C25829">
        <w:t xml:space="preserve"> komisyonumuzca uygun görülmüştür.</w:t>
      </w:r>
    </w:p>
    <w:p w14:paraId="6A15CA21" w14:textId="06D88C76" w:rsidR="00A30CB5" w:rsidRDefault="009E113D" w:rsidP="007D27C9">
      <w:pPr>
        <w:ind w:firstLine="708"/>
        <w:contextualSpacing/>
        <w:jc w:val="both"/>
      </w:pPr>
      <w:r w:rsidRPr="00A45B89">
        <w:t>Meclisimizin görüşlerine arz ederiz.</w:t>
      </w:r>
      <w:r w:rsidR="00920B12" w:rsidRPr="00A45B89">
        <w:rPr>
          <w:bCs/>
        </w:rPr>
        <w:t>)</w:t>
      </w:r>
      <w:r w:rsidR="00895C6A" w:rsidRPr="00A45B89">
        <w:t xml:space="preserve">  O</w:t>
      </w:r>
      <w:r w:rsidR="00485CF3" w:rsidRPr="00A45B89">
        <w:t>kundu.</w:t>
      </w:r>
    </w:p>
    <w:p w14:paraId="62F34851" w14:textId="408910B8" w:rsidR="00422533" w:rsidRPr="00A45B89" w:rsidRDefault="00F063BF" w:rsidP="007E4E8D">
      <w:pPr>
        <w:ind w:firstLine="708"/>
        <w:jc w:val="both"/>
      </w:pPr>
      <w:r w:rsidRPr="00A45B89">
        <w:t xml:space="preserve">Konu üzerindeki görüşmelerden sonra, komisyon raporu oylamaya sunuldu, yapılan işaretle oylama sonucunda, </w:t>
      </w:r>
      <w:r w:rsidR="007D27C9" w:rsidRPr="007D27C9">
        <w:t>Alagöz Mahallesi 613 Ada 1 Parsel numaralı taşınmaza yönelik hazırlanan 1/1000 Ölçekli Uygulama İmar Planı Değişikliği ile ilgili</w:t>
      </w:r>
      <w:r w:rsidR="007E4E8D" w:rsidRPr="007E5109">
        <w:rPr>
          <w:rFonts w:eastAsia="Calibri"/>
          <w:lang w:eastAsia="en-US"/>
        </w:rPr>
        <w:t xml:space="preserve"> </w:t>
      </w:r>
      <w:r w:rsidR="00F32009" w:rsidRPr="002316EC">
        <w:rPr>
          <w:rFonts w:eastAsia="Calibri"/>
          <w:lang w:eastAsia="en-US"/>
        </w:rPr>
        <w:t xml:space="preserve">İmar ve Bayındırlık </w:t>
      </w:r>
      <w:r w:rsidR="002316EC" w:rsidRPr="002316EC">
        <w:rPr>
          <w:rFonts w:eastAsia="Calibri"/>
          <w:lang w:eastAsia="en-US"/>
        </w:rPr>
        <w:t>Komisyo</w:t>
      </w:r>
      <w:r w:rsidR="002316EC">
        <w:rPr>
          <w:rFonts w:eastAsia="Calibri"/>
          <w:lang w:eastAsia="en-US"/>
        </w:rPr>
        <w:t>n</w:t>
      </w:r>
      <w:r w:rsidR="00590A58" w:rsidRPr="00A45B89">
        <w:t xml:space="preserve"> </w:t>
      </w:r>
      <w:r w:rsidRPr="00A45B89">
        <w:t xml:space="preserve">raporunun kabulüne </w:t>
      </w:r>
      <w:r w:rsidR="0065486F" w:rsidRPr="00E44435">
        <w:t>oybirliğiyle</w:t>
      </w:r>
      <w:r w:rsidR="0065486F" w:rsidRPr="00A45B89">
        <w:t xml:space="preserve"> </w:t>
      </w:r>
      <w:r w:rsidR="00F93C75" w:rsidRPr="00A45B89">
        <w:t>0</w:t>
      </w:r>
      <w:r w:rsidR="0065486F">
        <w:t>3</w:t>
      </w:r>
      <w:r w:rsidR="00030AB6" w:rsidRPr="00A45B89">
        <w:t>.</w:t>
      </w:r>
      <w:r w:rsidR="00BE7C94">
        <w:t>0</w:t>
      </w:r>
      <w:r w:rsidR="00EC54E0">
        <w:t>3</w:t>
      </w:r>
      <w:r w:rsidR="009D346A" w:rsidRPr="00A45B89">
        <w:t>.202</w:t>
      </w:r>
      <w:r w:rsidR="00BE7C94">
        <w:t>6</w:t>
      </w:r>
      <w:r w:rsidRPr="00A45B89">
        <w:t xml:space="preserve"> tarihli toplantıda karar verildi.</w:t>
      </w:r>
      <w:r w:rsidR="007B5F3A" w:rsidRPr="00A45B89">
        <w:t xml:space="preserve"> </w:t>
      </w:r>
    </w:p>
    <w:p w14:paraId="3EFA1477" w14:textId="5242FDD1" w:rsidR="00030AB6" w:rsidRPr="00A45B89" w:rsidRDefault="00BF39AA" w:rsidP="001A55AE">
      <w:pPr>
        <w:tabs>
          <w:tab w:val="left" w:pos="3720"/>
        </w:tabs>
      </w:pPr>
      <w:r w:rsidRPr="00A45B89">
        <w:t xml:space="preserve">     </w:t>
      </w:r>
      <w:r w:rsidR="00030AB6" w:rsidRPr="00A45B89">
        <w:t xml:space="preserve">  </w:t>
      </w:r>
      <w:r w:rsidR="00D2740C" w:rsidRPr="00A45B89">
        <w:tab/>
      </w:r>
      <w:r w:rsidR="00030AB6" w:rsidRPr="00A45B89">
        <w:tab/>
      </w:r>
    </w:p>
    <w:p w14:paraId="4162595F" w14:textId="313DBCBA" w:rsidR="00865578" w:rsidRDefault="00865578" w:rsidP="00866675">
      <w:pPr>
        <w:tabs>
          <w:tab w:val="left" w:pos="8175"/>
        </w:tabs>
      </w:pPr>
    </w:p>
    <w:p w14:paraId="287E07CF" w14:textId="05FE5AAF" w:rsidR="001A641F" w:rsidRDefault="001A641F" w:rsidP="00866675">
      <w:pPr>
        <w:tabs>
          <w:tab w:val="left" w:pos="8175"/>
        </w:tabs>
      </w:pPr>
    </w:p>
    <w:p w14:paraId="09E98DD2" w14:textId="77777777" w:rsidR="001A641F" w:rsidRPr="00A45B89" w:rsidRDefault="001A641F" w:rsidP="00866675">
      <w:pPr>
        <w:tabs>
          <w:tab w:val="left" w:pos="8175"/>
        </w:tabs>
      </w:pPr>
    </w:p>
    <w:p w14:paraId="2DB58BD2" w14:textId="5E003C7E" w:rsidR="006A625A" w:rsidRPr="00A45B89" w:rsidRDefault="00211EBA" w:rsidP="006A625A">
      <w:r w:rsidRPr="00A45B89">
        <w:t xml:space="preserve">  Bekir YILDIZ</w:t>
      </w:r>
      <w:r w:rsidR="006A625A" w:rsidRPr="00A45B89">
        <w:t xml:space="preserve">                     </w:t>
      </w:r>
      <w:r w:rsidRPr="00A45B89">
        <w:t xml:space="preserve">     </w:t>
      </w:r>
      <w:r w:rsidR="006A625A" w:rsidRPr="00A45B89">
        <w:t xml:space="preserve"> </w:t>
      </w:r>
      <w:r w:rsidR="00BE7C94">
        <w:t xml:space="preserve">      </w:t>
      </w:r>
      <w:r w:rsidR="001A641F">
        <w:t xml:space="preserve">    </w:t>
      </w:r>
      <w:r w:rsidR="00BE7C94">
        <w:t xml:space="preserve"> </w:t>
      </w:r>
      <w:r w:rsidR="001A641F">
        <w:t xml:space="preserve">  </w:t>
      </w:r>
      <w:r w:rsidR="00BE7C94">
        <w:t xml:space="preserve"> Murat ESER</w:t>
      </w:r>
      <w:r w:rsidR="006A625A" w:rsidRPr="00A45B89">
        <w:t xml:space="preserve">                          </w:t>
      </w:r>
      <w:r w:rsidR="00BE7C94">
        <w:t xml:space="preserve">                  </w:t>
      </w:r>
      <w:r w:rsidR="006A625A" w:rsidRPr="00A45B89">
        <w:t xml:space="preserve"> </w:t>
      </w:r>
      <w:r w:rsidR="001A641F">
        <w:t xml:space="preserve">        </w:t>
      </w:r>
      <w:r w:rsidR="00BE7C94">
        <w:t>Engin KAYI</w:t>
      </w:r>
      <w:r w:rsidR="006A625A" w:rsidRPr="00A45B89">
        <w:t xml:space="preserve">                   </w:t>
      </w:r>
    </w:p>
    <w:p w14:paraId="41929431" w14:textId="5143CDDF" w:rsidR="00D972D5" w:rsidRPr="001A55AE" w:rsidRDefault="006A625A" w:rsidP="001A55AE">
      <w:r w:rsidRPr="00A45B89">
        <w:t xml:space="preserve"> Meclis Başkan V.                                     </w:t>
      </w:r>
      <w:r w:rsidR="001A641F">
        <w:t xml:space="preserve">    </w:t>
      </w:r>
      <w:r w:rsidRPr="00A45B89">
        <w:t xml:space="preserve"> </w:t>
      </w:r>
      <w:proofErr w:type="gramStart"/>
      <w:r w:rsidRPr="00A45B89">
        <w:t>Katip</w:t>
      </w:r>
      <w:proofErr w:type="gramEnd"/>
      <w:r w:rsidRPr="00A45B89">
        <w:tab/>
      </w:r>
      <w:r w:rsidRPr="00A45B89">
        <w:tab/>
        <w:t xml:space="preserve">                                </w:t>
      </w:r>
      <w:r w:rsidR="00865578" w:rsidRPr="00A45B89">
        <w:t xml:space="preserve">         </w:t>
      </w:r>
      <w:r w:rsidR="001A641F">
        <w:t xml:space="preserve">          </w:t>
      </w:r>
      <w:proofErr w:type="spellStart"/>
      <w:r w:rsidRPr="00A45B89">
        <w:t>Katip</w:t>
      </w:r>
      <w:proofErr w:type="spellEnd"/>
    </w:p>
    <w:sectPr w:rsidR="00D972D5" w:rsidRPr="001A55AE">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5C66" w14:textId="77777777" w:rsidR="00D22CE4" w:rsidRDefault="00D22CE4">
      <w:r>
        <w:separator/>
      </w:r>
    </w:p>
  </w:endnote>
  <w:endnote w:type="continuationSeparator" w:id="0">
    <w:p w14:paraId="0470077F" w14:textId="77777777" w:rsidR="00D22CE4" w:rsidRDefault="00D2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85DB" w14:textId="77777777" w:rsidR="0065486F" w:rsidRDefault="006548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49327"/>
      <w:docPartObj>
        <w:docPartGallery w:val="Page Numbers (Bottom of Page)"/>
        <w:docPartUnique/>
      </w:docPartObj>
    </w:sdtPr>
    <w:sdtEndPr/>
    <w:sdtContent>
      <w:p w14:paraId="0C861117" w14:textId="523C7A6C" w:rsidR="007E4E8D" w:rsidRDefault="007E4E8D">
        <w:pPr>
          <w:pStyle w:val="AltBilgi"/>
          <w:jc w:val="center"/>
        </w:pPr>
        <w:r>
          <w:fldChar w:fldCharType="begin"/>
        </w:r>
        <w:r>
          <w:instrText>PAGE   \* MERGEFORMAT</w:instrText>
        </w:r>
        <w:r>
          <w:fldChar w:fldCharType="separate"/>
        </w:r>
        <w:r>
          <w:t>2</w:t>
        </w:r>
        <w:r>
          <w:fldChar w:fldCharType="end"/>
        </w:r>
        <w:r>
          <w:t>/</w:t>
        </w:r>
        <w:r w:rsidR="007D27C9">
          <w:t>7</w:t>
        </w:r>
      </w:p>
      <w:p w14:paraId="18CA104E" w14:textId="18B5ABA1" w:rsidR="007E4E8D" w:rsidRDefault="00D22CE4">
        <w:pPr>
          <w:pStyle w:val="AltBilgi"/>
          <w:jc w:val="center"/>
        </w:pPr>
      </w:p>
    </w:sdtContent>
  </w:sdt>
  <w:p w14:paraId="6222B734" w14:textId="77777777" w:rsidR="00BC5910" w:rsidRDefault="00BC59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9DC2" w14:textId="77777777" w:rsidR="0065486F" w:rsidRDefault="006548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304AE" w14:textId="77777777" w:rsidR="00D22CE4" w:rsidRDefault="00D22CE4">
      <w:r>
        <w:separator/>
      </w:r>
    </w:p>
  </w:footnote>
  <w:footnote w:type="continuationSeparator" w:id="0">
    <w:p w14:paraId="12534C1E" w14:textId="77777777" w:rsidR="00D22CE4" w:rsidRDefault="00D2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156F" w14:textId="77777777" w:rsidR="0065486F" w:rsidRDefault="006548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4B5E9EC" w14:textId="77777777" w:rsidR="007A26FC" w:rsidRDefault="007A26FC">
    <w:pPr>
      <w:jc w:val="both"/>
      <w:rPr>
        <w:b/>
      </w:rPr>
    </w:pPr>
  </w:p>
  <w:p w14:paraId="128EDBD0" w14:textId="376479E8" w:rsidR="001928DE" w:rsidRDefault="00D10A5B">
    <w:pPr>
      <w:jc w:val="both"/>
    </w:pPr>
    <w:r>
      <w:rPr>
        <w:b/>
      </w:rPr>
      <w:t>KARAR:</w:t>
    </w:r>
    <w:r w:rsidR="00C06786">
      <w:rPr>
        <w:b/>
      </w:rPr>
      <w:t xml:space="preserve"> </w:t>
    </w:r>
    <w:r w:rsidR="007D27C9">
      <w:rPr>
        <w:b/>
      </w:rPr>
      <w:t>40</w:t>
    </w:r>
    <w:r w:rsidR="00C06786">
      <w:rPr>
        <w:b/>
      </w:rPr>
      <w:t xml:space="preserve">                                                                                        </w:t>
    </w:r>
    <w:r w:rsidR="00C06786">
      <w:rPr>
        <w:b/>
      </w:rPr>
      <w:tab/>
      <w:t xml:space="preserve">               </w:t>
    </w:r>
    <w:r w:rsidR="00C06786">
      <w:rPr>
        <w:b/>
      </w:rPr>
      <w:tab/>
    </w:r>
    <w:r w:rsidR="007D27C9">
      <w:rPr>
        <w:b/>
      </w:rPr>
      <w:t>0</w:t>
    </w:r>
    <w:r w:rsidR="0065486F">
      <w:rPr>
        <w:b/>
      </w:rPr>
      <w:t>3</w:t>
    </w:r>
    <w:r w:rsidR="00030AB6">
      <w:rPr>
        <w:b/>
      </w:rPr>
      <w:t>.</w:t>
    </w:r>
    <w:r w:rsidR="00BE7C94">
      <w:rPr>
        <w:b/>
      </w:rPr>
      <w:t>0</w:t>
    </w:r>
    <w:r w:rsidR="00EC54E0">
      <w:rPr>
        <w:b/>
      </w:rPr>
      <w:t>3</w:t>
    </w:r>
    <w:r w:rsidR="00C06786">
      <w:rPr>
        <w:b/>
      </w:rPr>
      <w:t>.20</w:t>
    </w:r>
    <w:r w:rsidR="009D346A">
      <w:rPr>
        <w:b/>
      </w:rPr>
      <w:t>2</w:t>
    </w:r>
    <w:r w:rsidR="00BE7C94">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4FB4" w14:textId="77777777" w:rsidR="0065486F" w:rsidRDefault="006548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96A"/>
    <w:multiLevelType w:val="hybridMultilevel"/>
    <w:tmpl w:val="813AF44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D1B4D"/>
    <w:multiLevelType w:val="hybridMultilevel"/>
    <w:tmpl w:val="FFFFFFFF"/>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 w15:restartNumberingAfterBreak="0">
    <w:nsid w:val="110C2778"/>
    <w:multiLevelType w:val="hybridMultilevel"/>
    <w:tmpl w:val="410CDDB6"/>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6"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475"/>
    <w:multiLevelType w:val="hybridMultilevel"/>
    <w:tmpl w:val="263C0E06"/>
    <w:lvl w:ilvl="0" w:tplc="377619A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C537C0"/>
    <w:multiLevelType w:val="multilevel"/>
    <w:tmpl w:val="94B684EA"/>
    <w:lvl w:ilvl="0">
      <w:start w:val="1"/>
      <w:numFmt w:val="lowerLetter"/>
      <w:lvlText w:val="%1)"/>
      <w:lvlJc w:val="left"/>
      <w:pPr>
        <w:ind w:left="785"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1930F7"/>
    <w:multiLevelType w:val="hybridMultilevel"/>
    <w:tmpl w:val="FFFFFFFF"/>
    <w:lvl w:ilvl="0" w:tplc="041F0017">
      <w:start w:val="1"/>
      <w:numFmt w:val="lowerLetter"/>
      <w:lvlText w:val="%1)"/>
      <w:lvlJc w:val="left"/>
      <w:pPr>
        <w:ind w:left="785" w:hanging="360"/>
      </w:p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4" w15:restartNumberingAfterBreak="0">
    <w:nsid w:val="3B957F21"/>
    <w:multiLevelType w:val="hybridMultilevel"/>
    <w:tmpl w:val="B344C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6" w15:restartNumberingAfterBreak="0">
    <w:nsid w:val="40567268"/>
    <w:multiLevelType w:val="multilevel"/>
    <w:tmpl w:val="71DA41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4EFE2E14"/>
    <w:multiLevelType w:val="hybridMultilevel"/>
    <w:tmpl w:val="BC9C32D6"/>
    <w:lvl w:ilvl="0" w:tplc="3FAC1CE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0"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5F411383"/>
    <w:multiLevelType w:val="hybridMultilevel"/>
    <w:tmpl w:val="484E436C"/>
    <w:lvl w:ilvl="0" w:tplc="DC9E5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9826744"/>
    <w:multiLevelType w:val="multilevel"/>
    <w:tmpl w:val="98FC9D94"/>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6B294AF2"/>
    <w:multiLevelType w:val="hybridMultilevel"/>
    <w:tmpl w:val="D25E04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C61510"/>
    <w:multiLevelType w:val="hybridMultilevel"/>
    <w:tmpl w:val="D69E0F64"/>
    <w:lvl w:ilvl="0" w:tplc="3FAC1CE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9"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7"/>
  </w:num>
  <w:num w:numId="2">
    <w:abstractNumId w:val="7"/>
  </w:num>
  <w:num w:numId="3">
    <w:abstractNumId w:val="20"/>
  </w:num>
  <w:num w:numId="4">
    <w:abstractNumId w:val="5"/>
  </w:num>
  <w:num w:numId="5">
    <w:abstractNumId w:val="28"/>
  </w:num>
  <w:num w:numId="6">
    <w:abstractNumId w:val="17"/>
  </w:num>
  <w:num w:numId="7">
    <w:abstractNumId w:val="8"/>
  </w:num>
  <w:num w:numId="8">
    <w:abstractNumId w:val="19"/>
  </w:num>
  <w:num w:numId="9">
    <w:abstractNumId w:val="22"/>
  </w:num>
  <w:num w:numId="10">
    <w:abstractNumId w:val="6"/>
  </w:num>
  <w:num w:numId="11">
    <w:abstractNumId w:val="3"/>
  </w:num>
  <w:num w:numId="12">
    <w:abstractNumId w:val="15"/>
  </w:num>
  <w:num w:numId="13">
    <w:abstractNumId w:val="29"/>
  </w:num>
  <w:num w:numId="14">
    <w:abstractNumId w:val="1"/>
  </w:num>
  <w:num w:numId="15">
    <w:abstractNumId w:val="25"/>
  </w:num>
  <w:num w:numId="16">
    <w:abstractNumId w:val="10"/>
  </w:num>
  <w:num w:numId="17">
    <w:abstractNumId w:val="12"/>
  </w:num>
  <w:num w:numId="18">
    <w:abstractNumId w:val="14"/>
  </w:num>
  <w:num w:numId="19">
    <w:abstractNumId w:val="0"/>
  </w:num>
  <w:num w:numId="20">
    <w:abstractNumId w:val="21"/>
  </w:num>
  <w:num w:numId="21">
    <w:abstractNumId w:val="18"/>
  </w:num>
  <w:num w:numId="22">
    <w:abstractNumId w:val="4"/>
  </w:num>
  <w:num w:numId="23">
    <w:abstractNumId w:val="8"/>
  </w:num>
  <w:num w:numId="24">
    <w:abstractNumId w:val="26"/>
  </w:num>
  <w:num w:numId="25">
    <w:abstractNumId w:val="26"/>
  </w:num>
  <w:num w:numId="26">
    <w:abstractNumId w:val="23"/>
  </w:num>
  <w:num w:numId="27">
    <w:abstractNumId w:val="13"/>
  </w:num>
  <w:num w:numId="28">
    <w:abstractNumId w:val="16"/>
  </w:num>
  <w:num w:numId="29">
    <w:abstractNumId w:val="11"/>
  </w:num>
  <w:num w:numId="30">
    <w:abstractNumId w:val="2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30AB6"/>
    <w:rsid w:val="0003509C"/>
    <w:rsid w:val="00045304"/>
    <w:rsid w:val="00045725"/>
    <w:rsid w:val="00052ADE"/>
    <w:rsid w:val="0005404D"/>
    <w:rsid w:val="00070EB2"/>
    <w:rsid w:val="000913DD"/>
    <w:rsid w:val="00093925"/>
    <w:rsid w:val="000C7440"/>
    <w:rsid w:val="000D64F7"/>
    <w:rsid w:val="000E13B3"/>
    <w:rsid w:val="000E178E"/>
    <w:rsid w:val="000F05BB"/>
    <w:rsid w:val="000F4B94"/>
    <w:rsid w:val="000F79AE"/>
    <w:rsid w:val="001057E5"/>
    <w:rsid w:val="00120547"/>
    <w:rsid w:val="00123070"/>
    <w:rsid w:val="0012738F"/>
    <w:rsid w:val="0013122A"/>
    <w:rsid w:val="00136BAC"/>
    <w:rsid w:val="00146677"/>
    <w:rsid w:val="00160B14"/>
    <w:rsid w:val="001928DE"/>
    <w:rsid w:val="001A08F2"/>
    <w:rsid w:val="001A55AE"/>
    <w:rsid w:val="001A5701"/>
    <w:rsid w:val="001A641F"/>
    <w:rsid w:val="001B7D84"/>
    <w:rsid w:val="001B7EAA"/>
    <w:rsid w:val="001C5B2D"/>
    <w:rsid w:val="001D1445"/>
    <w:rsid w:val="001D2257"/>
    <w:rsid w:val="001D7342"/>
    <w:rsid w:val="00211EBA"/>
    <w:rsid w:val="002316EC"/>
    <w:rsid w:val="00232F7B"/>
    <w:rsid w:val="002330B2"/>
    <w:rsid w:val="00252F2F"/>
    <w:rsid w:val="002536CD"/>
    <w:rsid w:val="00256AA5"/>
    <w:rsid w:val="00281B9A"/>
    <w:rsid w:val="00285C03"/>
    <w:rsid w:val="002A380A"/>
    <w:rsid w:val="002B2B90"/>
    <w:rsid w:val="002B372D"/>
    <w:rsid w:val="002E5752"/>
    <w:rsid w:val="002F0871"/>
    <w:rsid w:val="002F0AA0"/>
    <w:rsid w:val="002F0B6B"/>
    <w:rsid w:val="002F12E9"/>
    <w:rsid w:val="002F5BCB"/>
    <w:rsid w:val="00304DE6"/>
    <w:rsid w:val="00322B7C"/>
    <w:rsid w:val="003247C3"/>
    <w:rsid w:val="00331C1D"/>
    <w:rsid w:val="003402C5"/>
    <w:rsid w:val="0034616D"/>
    <w:rsid w:val="003501F6"/>
    <w:rsid w:val="003558B0"/>
    <w:rsid w:val="003757EE"/>
    <w:rsid w:val="00376DF4"/>
    <w:rsid w:val="00381AE7"/>
    <w:rsid w:val="00386C7E"/>
    <w:rsid w:val="00392ACF"/>
    <w:rsid w:val="00396429"/>
    <w:rsid w:val="003B0B6D"/>
    <w:rsid w:val="003D6F88"/>
    <w:rsid w:val="003E4D24"/>
    <w:rsid w:val="003F4592"/>
    <w:rsid w:val="003F76F5"/>
    <w:rsid w:val="00406AE5"/>
    <w:rsid w:val="00417BD4"/>
    <w:rsid w:val="00422533"/>
    <w:rsid w:val="004418ED"/>
    <w:rsid w:val="004513D2"/>
    <w:rsid w:val="00472104"/>
    <w:rsid w:val="00485CF3"/>
    <w:rsid w:val="00496A54"/>
    <w:rsid w:val="004C0F60"/>
    <w:rsid w:val="004C739E"/>
    <w:rsid w:val="004E072C"/>
    <w:rsid w:val="00515A38"/>
    <w:rsid w:val="00540058"/>
    <w:rsid w:val="0054778B"/>
    <w:rsid w:val="005662C4"/>
    <w:rsid w:val="00566E1C"/>
    <w:rsid w:val="00567C2B"/>
    <w:rsid w:val="00580D32"/>
    <w:rsid w:val="00586447"/>
    <w:rsid w:val="00590A58"/>
    <w:rsid w:val="00595FFA"/>
    <w:rsid w:val="005B101C"/>
    <w:rsid w:val="005D1F14"/>
    <w:rsid w:val="00600E8B"/>
    <w:rsid w:val="00603BF5"/>
    <w:rsid w:val="00626BA6"/>
    <w:rsid w:val="00631D59"/>
    <w:rsid w:val="0065486F"/>
    <w:rsid w:val="00671CF3"/>
    <w:rsid w:val="00673331"/>
    <w:rsid w:val="006779E9"/>
    <w:rsid w:val="0068403B"/>
    <w:rsid w:val="00694B1A"/>
    <w:rsid w:val="006A5BE4"/>
    <w:rsid w:val="006A625A"/>
    <w:rsid w:val="006B1B7E"/>
    <w:rsid w:val="006B3F4A"/>
    <w:rsid w:val="006C3A86"/>
    <w:rsid w:val="006D1867"/>
    <w:rsid w:val="006F26B3"/>
    <w:rsid w:val="006F4D9E"/>
    <w:rsid w:val="006F6E65"/>
    <w:rsid w:val="00716104"/>
    <w:rsid w:val="00716924"/>
    <w:rsid w:val="00724C91"/>
    <w:rsid w:val="00744A6A"/>
    <w:rsid w:val="007938AD"/>
    <w:rsid w:val="00794C09"/>
    <w:rsid w:val="007A26FC"/>
    <w:rsid w:val="007B087F"/>
    <w:rsid w:val="007B5F3A"/>
    <w:rsid w:val="007D0D2F"/>
    <w:rsid w:val="007D27C9"/>
    <w:rsid w:val="007E4E8D"/>
    <w:rsid w:val="007E62A3"/>
    <w:rsid w:val="007E7825"/>
    <w:rsid w:val="0080247C"/>
    <w:rsid w:val="00812DEA"/>
    <w:rsid w:val="008239FD"/>
    <w:rsid w:val="008363AA"/>
    <w:rsid w:val="00836D8A"/>
    <w:rsid w:val="00837BF8"/>
    <w:rsid w:val="00845156"/>
    <w:rsid w:val="008534BB"/>
    <w:rsid w:val="00861315"/>
    <w:rsid w:val="00865578"/>
    <w:rsid w:val="00866675"/>
    <w:rsid w:val="00873D52"/>
    <w:rsid w:val="00880275"/>
    <w:rsid w:val="00895C6A"/>
    <w:rsid w:val="0089747E"/>
    <w:rsid w:val="0090276B"/>
    <w:rsid w:val="00911A62"/>
    <w:rsid w:val="0091231F"/>
    <w:rsid w:val="00916F9C"/>
    <w:rsid w:val="00920B12"/>
    <w:rsid w:val="009322FB"/>
    <w:rsid w:val="00936100"/>
    <w:rsid w:val="00937C57"/>
    <w:rsid w:val="00947686"/>
    <w:rsid w:val="00952845"/>
    <w:rsid w:val="0095511A"/>
    <w:rsid w:val="00962176"/>
    <w:rsid w:val="0096439B"/>
    <w:rsid w:val="00966D65"/>
    <w:rsid w:val="0097229F"/>
    <w:rsid w:val="00982923"/>
    <w:rsid w:val="009A3F9F"/>
    <w:rsid w:val="009A3FFA"/>
    <w:rsid w:val="009B7A4D"/>
    <w:rsid w:val="009D0410"/>
    <w:rsid w:val="009D1418"/>
    <w:rsid w:val="009D346A"/>
    <w:rsid w:val="009E113D"/>
    <w:rsid w:val="009F6310"/>
    <w:rsid w:val="00A22D0E"/>
    <w:rsid w:val="00A30CB5"/>
    <w:rsid w:val="00A30D23"/>
    <w:rsid w:val="00A32026"/>
    <w:rsid w:val="00A45B89"/>
    <w:rsid w:val="00A4613A"/>
    <w:rsid w:val="00A53574"/>
    <w:rsid w:val="00A6248F"/>
    <w:rsid w:val="00A84555"/>
    <w:rsid w:val="00A912E3"/>
    <w:rsid w:val="00AA1EB4"/>
    <w:rsid w:val="00AB5AF9"/>
    <w:rsid w:val="00AE078F"/>
    <w:rsid w:val="00AF5EB5"/>
    <w:rsid w:val="00B00F7A"/>
    <w:rsid w:val="00B063C5"/>
    <w:rsid w:val="00B54E19"/>
    <w:rsid w:val="00B61C1E"/>
    <w:rsid w:val="00B813FF"/>
    <w:rsid w:val="00B83248"/>
    <w:rsid w:val="00B86E5C"/>
    <w:rsid w:val="00B96AF1"/>
    <w:rsid w:val="00BA79BD"/>
    <w:rsid w:val="00BC0BF1"/>
    <w:rsid w:val="00BC5910"/>
    <w:rsid w:val="00BD227D"/>
    <w:rsid w:val="00BD5C25"/>
    <w:rsid w:val="00BD7FAC"/>
    <w:rsid w:val="00BE0BFE"/>
    <w:rsid w:val="00BE568F"/>
    <w:rsid w:val="00BE6288"/>
    <w:rsid w:val="00BE7C94"/>
    <w:rsid w:val="00BF39AA"/>
    <w:rsid w:val="00C0544A"/>
    <w:rsid w:val="00C05FF8"/>
    <w:rsid w:val="00C06786"/>
    <w:rsid w:val="00C10067"/>
    <w:rsid w:val="00C24999"/>
    <w:rsid w:val="00C532E2"/>
    <w:rsid w:val="00C6025D"/>
    <w:rsid w:val="00C605CE"/>
    <w:rsid w:val="00C63813"/>
    <w:rsid w:val="00C65D2C"/>
    <w:rsid w:val="00C9364F"/>
    <w:rsid w:val="00C96D7D"/>
    <w:rsid w:val="00CA2FAC"/>
    <w:rsid w:val="00CA4B10"/>
    <w:rsid w:val="00CB064C"/>
    <w:rsid w:val="00CE2260"/>
    <w:rsid w:val="00CF485C"/>
    <w:rsid w:val="00CF5485"/>
    <w:rsid w:val="00D10478"/>
    <w:rsid w:val="00D10A5B"/>
    <w:rsid w:val="00D1471A"/>
    <w:rsid w:val="00D17E33"/>
    <w:rsid w:val="00D22CE4"/>
    <w:rsid w:val="00D2740C"/>
    <w:rsid w:val="00D44585"/>
    <w:rsid w:val="00D60E68"/>
    <w:rsid w:val="00D64189"/>
    <w:rsid w:val="00D74178"/>
    <w:rsid w:val="00D769A6"/>
    <w:rsid w:val="00D83F86"/>
    <w:rsid w:val="00D86812"/>
    <w:rsid w:val="00D972D5"/>
    <w:rsid w:val="00DA6147"/>
    <w:rsid w:val="00DA7628"/>
    <w:rsid w:val="00DB3249"/>
    <w:rsid w:val="00DC6AFC"/>
    <w:rsid w:val="00DD061B"/>
    <w:rsid w:val="00DD3AD1"/>
    <w:rsid w:val="00DD672E"/>
    <w:rsid w:val="00DE1F74"/>
    <w:rsid w:val="00DE7367"/>
    <w:rsid w:val="00DF2CB4"/>
    <w:rsid w:val="00E03798"/>
    <w:rsid w:val="00E0729C"/>
    <w:rsid w:val="00E11EF0"/>
    <w:rsid w:val="00E15A2B"/>
    <w:rsid w:val="00E161C9"/>
    <w:rsid w:val="00E17A83"/>
    <w:rsid w:val="00E22339"/>
    <w:rsid w:val="00E27FC6"/>
    <w:rsid w:val="00E370F0"/>
    <w:rsid w:val="00E53496"/>
    <w:rsid w:val="00E77547"/>
    <w:rsid w:val="00E8321B"/>
    <w:rsid w:val="00E87F11"/>
    <w:rsid w:val="00E92084"/>
    <w:rsid w:val="00E9441E"/>
    <w:rsid w:val="00E950E7"/>
    <w:rsid w:val="00EA7D6F"/>
    <w:rsid w:val="00EC54E0"/>
    <w:rsid w:val="00EC6342"/>
    <w:rsid w:val="00EE0E0F"/>
    <w:rsid w:val="00EF4828"/>
    <w:rsid w:val="00EF6136"/>
    <w:rsid w:val="00F063BF"/>
    <w:rsid w:val="00F23ACA"/>
    <w:rsid w:val="00F32009"/>
    <w:rsid w:val="00F3613F"/>
    <w:rsid w:val="00F37B6C"/>
    <w:rsid w:val="00F4050C"/>
    <w:rsid w:val="00F50025"/>
    <w:rsid w:val="00F50708"/>
    <w:rsid w:val="00F5357E"/>
    <w:rsid w:val="00F72D73"/>
    <w:rsid w:val="00F75B27"/>
    <w:rsid w:val="00F93C75"/>
    <w:rsid w:val="00FA08CB"/>
    <w:rsid w:val="00FB20AA"/>
    <w:rsid w:val="00FB7F87"/>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WW8Num5z5">
    <w:name w:val="WW8Num5z5"/>
    <w:rsid w:val="00BC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4046">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1956906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8A12A-7FC5-4A73-9A09-78EB3F9A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2823</Words>
  <Characters>16092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46</cp:revision>
  <cp:lastPrinted>2025-11-05T12:44:00Z</cp:lastPrinted>
  <dcterms:created xsi:type="dcterms:W3CDTF">2020-09-07T13:29:00Z</dcterms:created>
  <dcterms:modified xsi:type="dcterms:W3CDTF">2026-03-04T07:15:00Z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