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0B51B" w14:textId="77777777" w:rsidR="00E22339" w:rsidRPr="00A62237" w:rsidRDefault="00E22339" w:rsidP="000B7A27">
      <w:pPr>
        <w:tabs>
          <w:tab w:val="left" w:pos="1943"/>
        </w:tabs>
        <w:rPr>
          <w:b/>
        </w:rPr>
      </w:pPr>
    </w:p>
    <w:p w14:paraId="67852790" w14:textId="353DE19D" w:rsidR="00A912E3" w:rsidRPr="00A62237" w:rsidRDefault="00C06786" w:rsidP="000B7A27">
      <w:pPr>
        <w:tabs>
          <w:tab w:val="left" w:pos="1943"/>
        </w:tabs>
        <w:ind w:firstLine="709"/>
        <w:jc w:val="center"/>
        <w:rPr>
          <w:b/>
        </w:rPr>
      </w:pPr>
      <w:proofErr w:type="gramStart"/>
      <w:r w:rsidRPr="00A62237">
        <w:rPr>
          <w:b/>
        </w:rPr>
        <w:t>K  A</w:t>
      </w:r>
      <w:proofErr w:type="gramEnd"/>
      <w:r w:rsidRPr="00A62237">
        <w:rPr>
          <w:b/>
        </w:rPr>
        <w:t xml:space="preserve">  R  A  R</w:t>
      </w:r>
    </w:p>
    <w:p w14:paraId="22050526" w14:textId="3AE74194" w:rsidR="000B7A27" w:rsidRDefault="000B7A27" w:rsidP="00A62237">
      <w:pPr>
        <w:tabs>
          <w:tab w:val="left" w:pos="1943"/>
        </w:tabs>
        <w:rPr>
          <w:b/>
        </w:rPr>
      </w:pPr>
    </w:p>
    <w:p w14:paraId="54CB9ED6" w14:textId="77777777" w:rsidR="00A80C44" w:rsidRPr="00A62237" w:rsidRDefault="00A80C44" w:rsidP="00A62237">
      <w:pPr>
        <w:tabs>
          <w:tab w:val="left" w:pos="1943"/>
        </w:tabs>
        <w:rPr>
          <w:b/>
        </w:rPr>
      </w:pPr>
    </w:p>
    <w:p w14:paraId="439D9EB5" w14:textId="0453534C" w:rsidR="00F063BF" w:rsidRPr="00A62237" w:rsidRDefault="00FC05C8" w:rsidP="00A62237">
      <w:pPr>
        <w:ind w:firstLine="708"/>
        <w:jc w:val="both"/>
      </w:pPr>
      <w:r>
        <w:t xml:space="preserve">2025 yılı Basılı Evrak Ücret tarifelerine ek olarak vatandaşlardan gelen talepler doğrultusunda ekte yer alan faaliyet kolları için ücret tarifelerinin belirlenmesi ile ilgili </w:t>
      </w:r>
      <w:r w:rsidR="00A62237" w:rsidRPr="00A62237">
        <w:rPr>
          <w:rFonts w:eastAsia="Calibri"/>
          <w:color w:val="000000" w:themeColor="text1"/>
          <w:lang w:eastAsia="en-US"/>
        </w:rPr>
        <w:t>Hukuk ve Tarifeler Komisyonu</w:t>
      </w:r>
      <w:r w:rsidR="000B7A27" w:rsidRPr="00A62237">
        <w:t>nun</w:t>
      </w:r>
      <w:r w:rsidR="000B7A27" w:rsidRPr="00A62237">
        <w:rPr>
          <w:b/>
        </w:rPr>
        <w:t xml:space="preserve"> </w:t>
      </w:r>
      <w:r w:rsidR="00A62237" w:rsidRPr="00A62237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7</w:t>
      </w:r>
      <w:r w:rsidR="003F76F5" w:rsidRPr="00A62237">
        <w:rPr>
          <w:rFonts w:eastAsia="Calibri"/>
          <w:color w:val="000000"/>
        </w:rPr>
        <w:t>.</w:t>
      </w:r>
      <w:r w:rsidR="001B77DD" w:rsidRPr="00A62237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4</w:t>
      </w:r>
      <w:r w:rsidR="007B797C" w:rsidRPr="00A62237">
        <w:rPr>
          <w:rFonts w:eastAsia="Calibri"/>
          <w:color w:val="000000"/>
        </w:rPr>
        <w:t>.202</w:t>
      </w:r>
      <w:r w:rsidR="00A62237" w:rsidRPr="00A62237">
        <w:rPr>
          <w:rFonts w:eastAsia="Calibri"/>
          <w:color w:val="000000"/>
        </w:rPr>
        <w:t>5</w:t>
      </w:r>
      <w:r w:rsidR="00F063BF" w:rsidRPr="00A62237">
        <w:rPr>
          <w:rFonts w:eastAsia="Calibri"/>
          <w:color w:val="000000"/>
        </w:rPr>
        <w:t xml:space="preserve"> tarih ve </w:t>
      </w:r>
      <w:r w:rsidR="001B77DD" w:rsidRPr="00A62237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8</w:t>
      </w:r>
      <w:r w:rsidR="00123070" w:rsidRPr="00A62237">
        <w:rPr>
          <w:rFonts w:eastAsia="Calibri"/>
          <w:color w:val="000000"/>
        </w:rPr>
        <w:t xml:space="preserve"> </w:t>
      </w:r>
      <w:r w:rsidR="00F063BF" w:rsidRPr="00A62237">
        <w:rPr>
          <w:rFonts w:eastAsia="Calibri"/>
          <w:color w:val="000000"/>
        </w:rPr>
        <w:t>sayılı</w:t>
      </w:r>
      <w:r w:rsidR="00A65BB2" w:rsidRPr="00A62237">
        <w:rPr>
          <w:rFonts w:eastAsia="Calibri"/>
          <w:color w:val="000000"/>
        </w:rPr>
        <w:t xml:space="preserve"> </w:t>
      </w:r>
      <w:r w:rsidR="00F063BF" w:rsidRPr="00A62237">
        <w:rPr>
          <w:rFonts w:eastAsia="Calibri"/>
          <w:color w:val="000000"/>
        </w:rPr>
        <w:t>raporu.</w:t>
      </w:r>
    </w:p>
    <w:p w14:paraId="5C34C275" w14:textId="77777777" w:rsidR="00EE6CEA" w:rsidRPr="00EB15E3" w:rsidRDefault="00C06786" w:rsidP="00EE6CEA">
      <w:pPr>
        <w:ind w:firstLine="709"/>
        <w:jc w:val="both"/>
      </w:pPr>
      <w:r w:rsidRPr="00A62237">
        <w:t>(</w:t>
      </w:r>
      <w:r w:rsidR="00EE6CEA" w:rsidRPr="00EB15E3">
        <w:t>Belediye meclisimizin 0</w:t>
      </w:r>
      <w:r w:rsidR="00EE6CEA">
        <w:t>2</w:t>
      </w:r>
      <w:r w:rsidR="00EE6CEA" w:rsidRPr="00EB15E3">
        <w:t>.0</w:t>
      </w:r>
      <w:r w:rsidR="00EE6CEA">
        <w:t>4</w:t>
      </w:r>
      <w:r w:rsidR="00EE6CEA" w:rsidRPr="00EB15E3">
        <w:t xml:space="preserve">.2025 tarihinde yapmış olduğu birleşimde görüşülerek komisyonumuza havale edilen, </w:t>
      </w:r>
      <w:r w:rsidR="00EE6CEA">
        <w:t xml:space="preserve">2025 yılı Basılı Evrak Ücret tarifelerine ek olarak vatandaşlardan gelen talepler doğrultusunda ekte yer alan faaliyet kolları için ücret tarifelerinin belirlenmesi ile ilgili </w:t>
      </w:r>
      <w:r w:rsidR="00EE6CEA" w:rsidRPr="00EB15E3">
        <w:t>dosya incelendi.</w:t>
      </w:r>
    </w:p>
    <w:p w14:paraId="6F14D6F2" w14:textId="77777777" w:rsidR="00EE6CEA" w:rsidRPr="00EB15E3" w:rsidRDefault="00EE6CEA" w:rsidP="00EE6CEA">
      <w:pPr>
        <w:ind w:firstLine="709"/>
        <w:jc w:val="both"/>
      </w:pPr>
      <w:r w:rsidRPr="00EB15E3">
        <w:t xml:space="preserve">Komisyonumuzca yapılan görüşmeler neticesinde; </w:t>
      </w:r>
    </w:p>
    <w:p w14:paraId="0D86F6F5" w14:textId="63D715C8" w:rsidR="00EE6CEA" w:rsidRPr="00EB15E3" w:rsidRDefault="00EE6CEA" w:rsidP="00EE6CEA">
      <w:pPr>
        <w:ind w:firstLine="709"/>
        <w:jc w:val="both"/>
      </w:pPr>
      <w:r>
        <w:t xml:space="preserve">2025 yılı Basılı Evrak Ücret tarifelerine ek olarak vatandaşlardan gelen talepler doğrultusunda ekte yer alan faaliyet kolları için ücret tarifelerinin </w:t>
      </w:r>
      <w:r w:rsidRPr="00EB15E3">
        <w:rPr>
          <w:rFonts w:eastAsia="Calibri"/>
          <w:lang w:eastAsia="en-US"/>
        </w:rPr>
        <w:t xml:space="preserve">aşağıda bulunduğu şekli ile uygulanması </w:t>
      </w:r>
      <w:r w:rsidRPr="00EB15E3">
        <w:t>komisyonumuzca</w:t>
      </w:r>
      <w:r w:rsidR="0046561C">
        <w:t xml:space="preserve"> oy çokluğ</w:t>
      </w:r>
      <w:r w:rsidR="008B7B80">
        <w:t>uyla</w:t>
      </w:r>
      <w:r w:rsidRPr="00EB15E3">
        <w:t xml:space="preserve"> uygun görülmüştür.</w:t>
      </w:r>
    </w:p>
    <w:p w14:paraId="529E4AEF" w14:textId="77777777" w:rsidR="00EE6CEA" w:rsidRDefault="00EE6CEA" w:rsidP="00A62237">
      <w:pPr>
        <w:pStyle w:val="ListeParagraf"/>
        <w:ind w:left="0" w:firstLine="709"/>
        <w:jc w:val="both"/>
        <w:rPr>
          <w:color w:val="000000"/>
        </w:rPr>
      </w:pP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4598"/>
      </w:tblGrid>
      <w:tr w:rsidR="00EE6CEA" w14:paraId="75D78692" w14:textId="77777777" w:rsidTr="00F17E93">
        <w:trPr>
          <w:trHeight w:val="772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C000"/>
            <w:hideMark/>
          </w:tcPr>
          <w:p w14:paraId="1C2B2D9F" w14:textId="77777777" w:rsidR="00EE6CEA" w:rsidRDefault="00EE6CEA" w:rsidP="00F17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</w:t>
            </w:r>
          </w:p>
          <w:p w14:paraId="3F81E914" w14:textId="77777777" w:rsidR="00EE6CEA" w:rsidRDefault="00EE6CEA" w:rsidP="00F17E9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RUHSAT VE DENETİM MÜDÜRLÜĞÜ 2025 YILI EK TARİFE TASLAĞI</w:t>
            </w:r>
          </w:p>
        </w:tc>
      </w:tr>
      <w:tr w:rsidR="00EE6CEA" w14:paraId="3E5A3CCB" w14:textId="77777777" w:rsidTr="00F17E93">
        <w:trPr>
          <w:trHeight w:val="319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685274DD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GAYRİSIHHİ MÜESSESELER</w:t>
            </w:r>
          </w:p>
        </w:tc>
      </w:tr>
      <w:tr w:rsidR="00EE6CEA" w14:paraId="3D249A54" w14:textId="77777777" w:rsidTr="00F17E93">
        <w:trPr>
          <w:trHeight w:val="454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26DB10EA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Asfalt </w:t>
            </w:r>
            <w:proofErr w:type="spellStart"/>
            <w:r>
              <w:rPr>
                <w:b/>
                <w:bCs/>
                <w:sz w:val="18"/>
                <w:szCs w:val="18"/>
              </w:rPr>
              <w:t>Plenti</w:t>
            </w:r>
            <w:proofErr w:type="spellEnd"/>
            <w:r>
              <w:rPr>
                <w:b/>
                <w:bCs/>
                <w:sz w:val="18"/>
                <w:szCs w:val="18"/>
              </w:rPr>
              <w:t>, Asfalt Üretim ve Soğuk Asfalt Yama Tesisleri (Basılı Evrak Ücretleri)</w:t>
            </w:r>
          </w:p>
        </w:tc>
      </w:tr>
      <w:tr w:rsidR="00EE6CEA" w14:paraId="4F5971D6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160A2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işyerleri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4F1B5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200,000</w:t>
            </w:r>
          </w:p>
        </w:tc>
      </w:tr>
      <w:tr w:rsidR="00EE6CEA" w14:paraId="4CB4DE81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35710AB7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Akrep ve Yılan Tesisi (Basılı Evrak Ücretleri)</w:t>
            </w:r>
          </w:p>
        </w:tc>
      </w:tr>
      <w:tr w:rsidR="00EE6CEA" w14:paraId="4EBECAA4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D467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işyerleri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894F95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68DB042C" w14:textId="77777777" w:rsidTr="00F17E93">
        <w:trPr>
          <w:trHeight w:val="762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vAlign w:val="center"/>
            <w:hideMark/>
          </w:tcPr>
          <w:p w14:paraId="0870C24F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Atık Geri Kazanım, Bertaraf Tesisleri, Geri Dönüşüm, Hurda Vb. (Basılı Evrak Ücretleri)</w:t>
            </w:r>
          </w:p>
        </w:tc>
      </w:tr>
      <w:tr w:rsidR="00EE6CEA" w14:paraId="0ACE787C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0405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730D34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63FC00A3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0D270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m² -500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C5DEAB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30,000</w:t>
            </w:r>
          </w:p>
        </w:tc>
      </w:tr>
      <w:tr w:rsidR="00EE6CEA" w14:paraId="403916A6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16819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35CBA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</w:tr>
      <w:tr w:rsidR="00EE6CEA" w14:paraId="0D78F4DC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6926B84B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Besi Çiftliği (Büyük-Küçük Baş/Kanatlı Vb.) (Basılı Evrak Ücretleri)</w:t>
            </w:r>
          </w:p>
        </w:tc>
      </w:tr>
      <w:tr w:rsidR="00EE6CEA" w14:paraId="296936CB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46B4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E35CBB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0928ADB2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7E0D0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m² -1000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2867F3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</w:tr>
      <w:tr w:rsidR="00EE6CEA" w14:paraId="4BD8237C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4606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375582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59F9F856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3DD61BEC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Çimento Bazlı Yapı Elemanları/Hazır Beton Tesisleri (Basılı Evrak Ücretleri)</w:t>
            </w:r>
          </w:p>
        </w:tc>
      </w:tr>
      <w:tr w:rsidR="00EE6CEA" w14:paraId="49B7ADF2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8DFA5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işyerleri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8A612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200,000</w:t>
            </w:r>
          </w:p>
        </w:tc>
      </w:tr>
      <w:tr w:rsidR="00EE6CEA" w14:paraId="55AC6542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2698F99B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Diş Hekimliği Malzemeleri/ Diş Protez Malzemeleri İmalatı (Basılı Evrak Ücretleri)</w:t>
            </w:r>
          </w:p>
        </w:tc>
      </w:tr>
      <w:tr w:rsidR="00EE6CEA" w14:paraId="74398837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5666C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işyerleri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272815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494BA500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5E2B96F9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Dokuma, Konfeksiyon, </w:t>
            </w:r>
            <w:proofErr w:type="spellStart"/>
            <w:proofErr w:type="gramStart"/>
            <w:r>
              <w:rPr>
                <w:b/>
                <w:bCs/>
                <w:sz w:val="18"/>
                <w:szCs w:val="18"/>
              </w:rPr>
              <w:t>Giyim,Tekstil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Ürünleri İmalatı (Basılı Evrak Ücretleri)</w:t>
            </w:r>
          </w:p>
        </w:tc>
      </w:tr>
      <w:tr w:rsidR="00EE6CEA" w14:paraId="15A91C3E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5C2F8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15995B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282B8113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D2462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m² -299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597D5E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30,000</w:t>
            </w:r>
          </w:p>
        </w:tc>
      </w:tr>
      <w:tr w:rsidR="00EE6CEA" w14:paraId="721B10CD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8E8B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03FC4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76C4A4E8" w14:textId="77777777" w:rsidTr="00F17E93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13607712" w14:textId="77777777" w:rsidR="00EE6CEA" w:rsidRDefault="00EE6CEA" w:rsidP="00F17E93">
            <w:pPr>
              <w:ind w:firstLineChars="600" w:firstLine="10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Demir/Çelik ve Demir Dışı Metallerin Eritilip Dökümünün Yapıldığı Tesisler (Basılı Evrak Ücretleri)</w:t>
            </w:r>
          </w:p>
        </w:tc>
      </w:tr>
      <w:tr w:rsidR="00EE6CEA" w14:paraId="57A18B0A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76166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işyerleri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606F7A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</w:tr>
      <w:tr w:rsidR="00EE6CEA" w14:paraId="56009723" w14:textId="77777777" w:rsidTr="00F17E93">
        <w:trPr>
          <w:trHeight w:val="346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6B5FD1CD" w14:textId="77777777" w:rsidR="00EE6CEA" w:rsidRDefault="00EE6CEA" w:rsidP="00F17E93">
            <w:pPr>
              <w:ind w:firstLineChars="400" w:firstLine="72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Elektrikli Pano/Hücre İmalatı, Granit/Mermer/</w:t>
            </w:r>
            <w:proofErr w:type="spellStart"/>
            <w:r>
              <w:rPr>
                <w:b/>
                <w:bCs/>
                <w:sz w:val="18"/>
                <w:szCs w:val="18"/>
              </w:rPr>
              <w:t>Mermerit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Atölyeleri veya Üretimi (Basılı Evrak Ücretleri)</w:t>
            </w:r>
          </w:p>
        </w:tc>
      </w:tr>
      <w:tr w:rsidR="00EE6CEA" w14:paraId="1DA84289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308AE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0FBCA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0A0D6B16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468D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m² -299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5885B0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30,000</w:t>
            </w:r>
          </w:p>
        </w:tc>
      </w:tr>
      <w:tr w:rsidR="00EE6CEA" w14:paraId="5FC8E3B7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1DCAC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0B765E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571BE5AE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38D4CF27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Hazır Yemek Üretimi (Basılı Evrak Ücretleri)</w:t>
            </w:r>
          </w:p>
        </w:tc>
      </w:tr>
      <w:tr w:rsidR="00EE6CEA" w14:paraId="4AF71677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72E3C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işyerleri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C58E76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3350CA04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0425A5A8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İnşaat Malzemeleri Depo ve Satış Yeri (Basılı Evrak Ücretleri)</w:t>
            </w:r>
          </w:p>
        </w:tc>
      </w:tr>
      <w:tr w:rsidR="00EE6CEA" w14:paraId="76C58EDC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2C6D5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işyerleri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72A8E2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59733FC9" w14:textId="77777777" w:rsidTr="00F17E93">
        <w:trPr>
          <w:trHeight w:val="394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vAlign w:val="center"/>
            <w:hideMark/>
          </w:tcPr>
          <w:p w14:paraId="140686EF" w14:textId="77777777" w:rsidR="00EE6CEA" w:rsidRDefault="00EE6CEA" w:rsidP="00F17E93">
            <w:pPr>
              <w:ind w:firstLineChars="700" w:firstLine="1265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Mobilya İmalatı, Medikal Malzeme İmalatı, Modüler Su Deposu İmalatı (Basılı Evrak Ücretleri)</w:t>
            </w:r>
          </w:p>
        </w:tc>
      </w:tr>
      <w:tr w:rsidR="00EE6CEA" w14:paraId="77D8C399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2EE5E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5F58A7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098C7D71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4C8FB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m² -299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2F1D86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30,000</w:t>
            </w:r>
          </w:p>
        </w:tc>
      </w:tr>
      <w:tr w:rsidR="00EE6CEA" w14:paraId="63040D25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10EB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570267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</w:tr>
      <w:tr w:rsidR="00EE6CEA" w14:paraId="1EEF6F44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2D793B94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Prefabrik, </w:t>
            </w:r>
            <w:proofErr w:type="spellStart"/>
            <w:r>
              <w:rPr>
                <w:b/>
                <w:bCs/>
                <w:sz w:val="18"/>
                <w:szCs w:val="18"/>
              </w:rPr>
              <w:t>Pvc</w:t>
            </w:r>
            <w:proofErr w:type="spellEnd"/>
            <w:r>
              <w:rPr>
                <w:b/>
                <w:bCs/>
                <w:sz w:val="18"/>
                <w:szCs w:val="18"/>
              </w:rPr>
              <w:t>, Kapı/Pencere Cam Balkon İmalatı (Basılı Evrak Ücretleri)</w:t>
            </w:r>
          </w:p>
        </w:tc>
      </w:tr>
      <w:tr w:rsidR="00EE6CEA" w14:paraId="480DF0C2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8C36A7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19924A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4628FE3F" w14:textId="77777777" w:rsidTr="00F17E93">
        <w:trPr>
          <w:trHeight w:val="255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A0E14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m² -500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F9AC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30,000</w:t>
            </w:r>
          </w:p>
        </w:tc>
      </w:tr>
      <w:tr w:rsidR="00EE6CEA" w14:paraId="4D3BFFC5" w14:textId="77777777" w:rsidTr="00F17E93">
        <w:trPr>
          <w:trHeight w:val="255"/>
        </w:trPr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8AA8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m² ve daha büyük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2BB8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736F27A8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11CFFED0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Seramik, Porselen Vb. İmalatı (Basılı Evrak Ücretleri)</w:t>
            </w:r>
          </w:p>
        </w:tc>
      </w:tr>
      <w:tr w:rsidR="00EE6CEA" w14:paraId="5EF89BC3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15DC8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877DF9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506EE300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C6DAC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m² -500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80D30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30,000</w:t>
            </w:r>
          </w:p>
        </w:tc>
      </w:tr>
      <w:tr w:rsidR="00EE6CEA" w14:paraId="12DCF88F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4B72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62317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</w:tr>
      <w:tr w:rsidR="00EE6CEA" w14:paraId="01F73CA9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42383933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Süt ve Süt Ürünleri Üretim, Depolama ve Soğutma İşletmeleri (Basılı Evrak Ücretleri)</w:t>
            </w:r>
          </w:p>
        </w:tc>
      </w:tr>
      <w:tr w:rsidR="00EE6CEA" w14:paraId="57939C92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DECA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5921F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559D25FC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A7E8E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m² -1000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05EE8B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</w:tr>
      <w:tr w:rsidR="00EE6CEA" w14:paraId="0A1305BF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70613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40ABFE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47C38090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16D01508" w14:textId="77777777" w:rsidR="00EE6CEA" w:rsidRDefault="00EE6CEA" w:rsidP="00F17E93">
            <w:pPr>
              <w:ind w:firstLineChars="600" w:firstLine="10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Torna, Demir Doğrama, Kaynak Atölyesi, Çelik Konstrüksiyon </w:t>
            </w:r>
            <w:proofErr w:type="gramStart"/>
            <w:r>
              <w:rPr>
                <w:b/>
                <w:bCs/>
                <w:sz w:val="18"/>
                <w:szCs w:val="18"/>
              </w:rPr>
              <w:t>İşletmeleri  (</w:t>
            </w:r>
            <w:proofErr w:type="gramEnd"/>
            <w:r>
              <w:rPr>
                <w:b/>
                <w:bCs/>
                <w:sz w:val="18"/>
                <w:szCs w:val="18"/>
              </w:rPr>
              <w:t>Basılı Evrak Ücretleri)</w:t>
            </w:r>
          </w:p>
        </w:tc>
      </w:tr>
      <w:tr w:rsidR="00EE6CEA" w14:paraId="0068EE11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7F80B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38EC5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3974A126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1B520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m² -299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E7A40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30,000</w:t>
            </w:r>
          </w:p>
        </w:tc>
      </w:tr>
      <w:tr w:rsidR="00EE6CEA" w14:paraId="37CA1732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56F59D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5195477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40,000</w:t>
            </w:r>
          </w:p>
        </w:tc>
      </w:tr>
      <w:tr w:rsidR="00EE6CEA" w14:paraId="216710AF" w14:textId="77777777" w:rsidTr="00F17E93">
        <w:trPr>
          <w:trHeight w:val="285"/>
        </w:trPr>
        <w:tc>
          <w:tcPr>
            <w:tcW w:w="104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5EE8BB52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Tohum Eleme, Paketleme ve Depolama İşletmeleri (Basılı Evrak Ücretleri)</w:t>
            </w:r>
          </w:p>
        </w:tc>
      </w:tr>
      <w:tr w:rsidR="00EE6CEA" w14:paraId="14B13B7A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BF87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B4922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29496224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36B8B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m² -1000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81AFFE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</w:tr>
      <w:tr w:rsidR="00EE6CEA" w14:paraId="65F18C3E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C1C3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844901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1374686D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7E9E2167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Un, Makarna, Bisküvi Vb. İmalatı (Basılı Evrak Ücretleri)</w:t>
            </w:r>
          </w:p>
        </w:tc>
      </w:tr>
      <w:tr w:rsidR="00EE6CEA" w14:paraId="5CF17164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6E8BF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ABEEB6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2F82AE70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7E8CA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m² -1000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CA5099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</w:tr>
      <w:tr w:rsidR="00EE6CEA" w14:paraId="0DFC71CD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AC2A6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A2A7A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149A9E0A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28A6731B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Yangın Söndürme Tüpü Dolum, Bakım ve Tamiri (Basılı Evrak Ücretleri)</w:t>
            </w:r>
          </w:p>
        </w:tc>
      </w:tr>
      <w:tr w:rsidR="00EE6CEA" w14:paraId="25C5334E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A733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40088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10,000</w:t>
            </w:r>
          </w:p>
        </w:tc>
      </w:tr>
      <w:tr w:rsidR="00EE6CEA" w14:paraId="14A46657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DFF45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 m² -500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46BBED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215C7108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D906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F05E3E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30,000</w:t>
            </w:r>
          </w:p>
        </w:tc>
      </w:tr>
      <w:tr w:rsidR="00EE6CEA" w14:paraId="3FF480C6" w14:textId="77777777" w:rsidTr="00F17E93">
        <w:trPr>
          <w:trHeight w:val="212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4BB95"/>
            <w:hideMark/>
          </w:tcPr>
          <w:p w14:paraId="7268F7BA" w14:textId="77777777" w:rsidR="00EE6CEA" w:rsidRDefault="00EE6CEA" w:rsidP="00F17E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Listede Faaliyetleri Belirtilmeyen 2. Sınıf Gayrisıhhi Müesseseler (Basılı Evrak </w:t>
            </w:r>
            <w:proofErr w:type="gramStart"/>
            <w:r>
              <w:rPr>
                <w:b/>
                <w:bCs/>
                <w:sz w:val="18"/>
                <w:szCs w:val="18"/>
              </w:rPr>
              <w:t>Ücretleri )</w:t>
            </w:r>
            <w:proofErr w:type="gramEnd"/>
          </w:p>
        </w:tc>
      </w:tr>
      <w:tr w:rsidR="00EE6CEA" w14:paraId="0FA03B1C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CFC7B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m² ve daha küçük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6EB847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20,000</w:t>
            </w:r>
          </w:p>
        </w:tc>
      </w:tr>
      <w:tr w:rsidR="00EE6CEA" w14:paraId="05EDCC23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8674F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m² -299 m</w:t>
            </w:r>
            <w:proofErr w:type="gramStart"/>
            <w:r>
              <w:rPr>
                <w:sz w:val="18"/>
                <w:szCs w:val="18"/>
              </w:rPr>
              <w:t>²  arası</w:t>
            </w:r>
            <w:proofErr w:type="gramEnd"/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00148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30,000</w:t>
            </w:r>
          </w:p>
        </w:tc>
      </w:tr>
      <w:tr w:rsidR="00EE6CEA" w14:paraId="53F87187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D138D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m² ve daha büyük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A3C63B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40,000</w:t>
            </w:r>
          </w:p>
        </w:tc>
      </w:tr>
      <w:tr w:rsidR="00EE6CEA" w14:paraId="09EEC28D" w14:textId="77777777" w:rsidTr="00F17E93">
        <w:trPr>
          <w:trHeight w:val="372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492"/>
            <w:hideMark/>
          </w:tcPr>
          <w:p w14:paraId="7D28310D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UMUMA AÇIK İSTİRAHAT VE EĞLENCE YERLERİ</w:t>
            </w:r>
          </w:p>
        </w:tc>
      </w:tr>
      <w:tr w:rsidR="00EE6CEA" w14:paraId="4C7470DF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492"/>
            <w:hideMark/>
          </w:tcPr>
          <w:p w14:paraId="27AA5465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Lunapark/Sirk/Kampingler (Basılı Evrak </w:t>
            </w:r>
            <w:proofErr w:type="gramStart"/>
            <w:r>
              <w:rPr>
                <w:b/>
                <w:bCs/>
                <w:sz w:val="18"/>
                <w:szCs w:val="18"/>
              </w:rPr>
              <w:t>Ücretleri )</w:t>
            </w:r>
            <w:proofErr w:type="gramEnd"/>
          </w:p>
        </w:tc>
      </w:tr>
      <w:tr w:rsidR="00EE6CEA" w14:paraId="77A883E0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EE1C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işyerleri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2D6C81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7C8E339C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492"/>
            <w:hideMark/>
          </w:tcPr>
          <w:p w14:paraId="16D8219D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Yüzme Havuzu vb. (Basılı Evrak </w:t>
            </w:r>
            <w:proofErr w:type="gramStart"/>
            <w:r>
              <w:rPr>
                <w:b/>
                <w:bCs/>
                <w:sz w:val="18"/>
                <w:szCs w:val="18"/>
              </w:rPr>
              <w:t>Ücretleri )</w:t>
            </w:r>
            <w:proofErr w:type="gramEnd"/>
          </w:p>
        </w:tc>
      </w:tr>
      <w:tr w:rsidR="00EE6CEA" w14:paraId="19D11E6F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EF4FC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işyerleri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E95791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2E36DAF3" w14:textId="77777777" w:rsidTr="00F17E93">
        <w:trPr>
          <w:trHeight w:val="529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492"/>
            <w:hideMark/>
          </w:tcPr>
          <w:p w14:paraId="06894A1D" w14:textId="77777777" w:rsidR="00EE6CEA" w:rsidRDefault="00EE6CEA" w:rsidP="00F17E93">
            <w:pPr>
              <w:ind w:firstLineChars="800" w:firstLine="144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Açık ve Kapalı Alanlarda Bulunan Oyun/Eğlence/Su/Spor ve Macera Parkları ile Teleferikler </w:t>
            </w:r>
          </w:p>
          <w:p w14:paraId="5BED0071" w14:textId="77777777" w:rsidR="00EE6CEA" w:rsidRDefault="00EE6CEA" w:rsidP="00F17E93">
            <w:pPr>
              <w:ind w:firstLineChars="800" w:firstLine="1446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(Basılı Evrak </w:t>
            </w:r>
            <w:proofErr w:type="gramStart"/>
            <w:r>
              <w:rPr>
                <w:b/>
                <w:bCs/>
                <w:sz w:val="18"/>
                <w:szCs w:val="18"/>
              </w:rPr>
              <w:t>Ücretleri )</w:t>
            </w:r>
            <w:proofErr w:type="gramEnd"/>
          </w:p>
        </w:tc>
      </w:tr>
      <w:tr w:rsidR="00EE6CEA" w14:paraId="68F4C8EB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A6556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işyerleri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8E4B8A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100,000</w:t>
            </w:r>
          </w:p>
        </w:tc>
      </w:tr>
      <w:tr w:rsidR="00EE6CEA" w14:paraId="1F62CBBD" w14:textId="77777777" w:rsidTr="00F17E93">
        <w:trPr>
          <w:trHeight w:val="762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9492"/>
            <w:hideMark/>
          </w:tcPr>
          <w:p w14:paraId="11CCCCC5" w14:textId="77777777" w:rsidR="00EE6CEA" w:rsidRDefault="00EE6CEA" w:rsidP="00F17E93">
            <w:pPr>
              <w:ind w:firstLineChars="1200" w:firstLine="216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 </w:t>
            </w:r>
          </w:p>
          <w:p w14:paraId="78D85C88" w14:textId="77777777" w:rsidR="00EE6CEA" w:rsidRDefault="00EE6CEA" w:rsidP="00F17E9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Listede Faaliyetleri Belirtilmeyen Umuma Açık İstirahat ve Eğlence Yerleri (Basılı Evrak </w:t>
            </w:r>
            <w:proofErr w:type="gramStart"/>
            <w:r>
              <w:rPr>
                <w:b/>
                <w:bCs/>
                <w:sz w:val="18"/>
                <w:szCs w:val="18"/>
              </w:rPr>
              <w:t>Ücretleri )</w:t>
            </w:r>
            <w:proofErr w:type="gramEnd"/>
          </w:p>
        </w:tc>
      </w:tr>
      <w:tr w:rsidR="00EE6CEA" w14:paraId="756A1E5B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ECEBA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Bütün işyerleri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BD90D6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10,000</w:t>
            </w:r>
          </w:p>
        </w:tc>
      </w:tr>
      <w:tr w:rsidR="00EE6CEA" w14:paraId="52200481" w14:textId="77777777" w:rsidTr="00F17E93">
        <w:trPr>
          <w:trHeight w:val="274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hideMark/>
          </w:tcPr>
          <w:p w14:paraId="031B873E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DİĞER ÜCRETLER</w:t>
            </w:r>
          </w:p>
        </w:tc>
      </w:tr>
      <w:tr w:rsidR="00EE6CEA" w14:paraId="561FE370" w14:textId="77777777" w:rsidTr="00F17E93">
        <w:trPr>
          <w:trHeight w:val="255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14:paraId="31599E6F" w14:textId="77777777" w:rsidR="00EE6CEA" w:rsidRDefault="00EE6CEA" w:rsidP="00F17E9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Diğer Rapor, Harç, Belge, Basılı Evrak</w:t>
            </w:r>
          </w:p>
        </w:tc>
      </w:tr>
      <w:tr w:rsidR="00EE6CEA" w14:paraId="062CC9DF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14:paraId="206514BC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Teftiş Defteri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noWrap/>
            <w:hideMark/>
          </w:tcPr>
          <w:p w14:paraId="60D929FD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EE6CEA" w14:paraId="20E5010D" w14:textId="77777777" w:rsidTr="00F17E93">
        <w:trPr>
          <w:trHeight w:val="255"/>
        </w:trPr>
        <w:tc>
          <w:tcPr>
            <w:tcW w:w="58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CD6ED"/>
            <w:hideMark/>
          </w:tcPr>
          <w:p w14:paraId="7F492642" w14:textId="77777777" w:rsidR="00EE6CEA" w:rsidRDefault="00EE6CEA" w:rsidP="00F17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Nargile Sunum ve Mesafe Rapor Ücreti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CD6ED"/>
            <w:noWrap/>
            <w:hideMark/>
          </w:tcPr>
          <w:p w14:paraId="344D9F4C" w14:textId="77777777" w:rsidR="00EE6CEA" w:rsidRDefault="00EE6CEA" w:rsidP="00F17E9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50,000</w:t>
            </w:r>
          </w:p>
        </w:tc>
      </w:tr>
    </w:tbl>
    <w:p w14:paraId="0C660C6B" w14:textId="77777777" w:rsidR="00EE6CEA" w:rsidRPr="00EB15E3" w:rsidRDefault="00EE6CEA" w:rsidP="00EE6CEA">
      <w:pPr>
        <w:jc w:val="center"/>
        <w:rPr>
          <w:b/>
        </w:rPr>
      </w:pPr>
    </w:p>
    <w:p w14:paraId="6DB65FFD" w14:textId="77777777" w:rsidR="00A80C44" w:rsidRDefault="00A80C44" w:rsidP="00A62237">
      <w:pPr>
        <w:pStyle w:val="ListeParagraf"/>
        <w:ind w:left="0" w:firstLine="709"/>
        <w:jc w:val="both"/>
      </w:pPr>
    </w:p>
    <w:p w14:paraId="0A658E8B" w14:textId="229949F1" w:rsidR="00093925" w:rsidRPr="00A62237" w:rsidRDefault="00694B1A" w:rsidP="00A62237">
      <w:pPr>
        <w:pStyle w:val="ListeParagraf"/>
        <w:ind w:left="0" w:firstLine="709"/>
        <w:jc w:val="both"/>
        <w:rPr>
          <w:color w:val="000000"/>
        </w:rPr>
      </w:pPr>
      <w:r w:rsidRPr="00A62237">
        <w:t>Meclisimizin görüşlerine arz ederiz.</w:t>
      </w:r>
      <w:r w:rsidR="002A380A" w:rsidRPr="00A62237">
        <w:t>)</w:t>
      </w:r>
      <w:r w:rsidR="00895C6A" w:rsidRPr="00A62237">
        <w:t xml:space="preserve">  O</w:t>
      </w:r>
      <w:r w:rsidR="00485CF3" w:rsidRPr="00A62237">
        <w:t>kundu.</w:t>
      </w:r>
    </w:p>
    <w:p w14:paraId="626685F2" w14:textId="3BC31D8A" w:rsidR="001928DE" w:rsidRPr="00A62237" w:rsidRDefault="00F063BF" w:rsidP="00093925">
      <w:pPr>
        <w:ind w:firstLine="709"/>
        <w:jc w:val="both"/>
        <w:rPr>
          <w:color w:val="000000"/>
        </w:rPr>
      </w:pPr>
      <w:r w:rsidRPr="00A62237">
        <w:t xml:space="preserve">Konu üzerindeki görüşmelerden sonra, komisyon raporu oylamaya sunuldu, yapılan işaretle oylama sonucunda, </w:t>
      </w:r>
      <w:r w:rsidR="00FC05C8">
        <w:t xml:space="preserve">2025 yılı Basılı Evrak Ücret tarifelerine ek olarak vatandaşlardan gelen talepler doğrultusunda yukarıda ekte yer alan faaliyet kolları için ücret tarifelerinin belirlenmesi ile ilgili </w:t>
      </w:r>
      <w:r w:rsidR="00FC05C8" w:rsidRPr="00A62237">
        <w:rPr>
          <w:rFonts w:eastAsia="Calibri"/>
          <w:color w:val="000000" w:themeColor="text1"/>
          <w:lang w:eastAsia="en-US"/>
        </w:rPr>
        <w:t>Hukuk ve Tarifeler Komisyonu</w:t>
      </w:r>
      <w:r w:rsidR="001B77DD" w:rsidRPr="00A62237">
        <w:rPr>
          <w:rFonts w:eastAsia="Calibri"/>
          <w:bCs/>
        </w:rPr>
        <w:t xml:space="preserve"> </w:t>
      </w:r>
      <w:r w:rsidR="00E23EB9" w:rsidRPr="00A62237">
        <w:t>raporunun kabulüne oy</w:t>
      </w:r>
      <w:r w:rsidR="008B7B80">
        <w:t xml:space="preserve"> çokluğuyla</w:t>
      </w:r>
      <w:r w:rsidR="00E23EB9" w:rsidRPr="00A62237">
        <w:t xml:space="preserve"> </w:t>
      </w:r>
      <w:r w:rsidR="001B77DD" w:rsidRPr="00A62237">
        <w:t>0</w:t>
      </w:r>
      <w:r w:rsidR="00FC05C8">
        <w:t>8</w:t>
      </w:r>
      <w:r w:rsidR="001B77DD" w:rsidRPr="00A62237">
        <w:t>.0</w:t>
      </w:r>
      <w:r w:rsidR="00FC05C8">
        <w:t>4</w:t>
      </w:r>
      <w:r w:rsidR="007B797C" w:rsidRPr="00A62237">
        <w:t>.202</w:t>
      </w:r>
      <w:r w:rsidR="00A62237" w:rsidRPr="00A62237">
        <w:t>5</w:t>
      </w:r>
      <w:r w:rsidRPr="00A62237">
        <w:t xml:space="preserve"> tarihli toplantıda karar verildi.</w:t>
      </w:r>
    </w:p>
    <w:p w14:paraId="5E57F6AB" w14:textId="77777777" w:rsidR="006B1B7E" w:rsidRPr="00A62237" w:rsidRDefault="006B1B7E" w:rsidP="00FA7F0C">
      <w:pPr>
        <w:jc w:val="both"/>
      </w:pPr>
      <w:bookmarkStart w:id="0" w:name="_GoBack"/>
      <w:bookmarkEnd w:id="0"/>
    </w:p>
    <w:p w14:paraId="62F34851" w14:textId="7DF26896" w:rsidR="00422533" w:rsidRDefault="00422533" w:rsidP="00673331">
      <w:pPr>
        <w:ind w:firstLine="708"/>
        <w:jc w:val="both"/>
      </w:pPr>
    </w:p>
    <w:p w14:paraId="770B47B2" w14:textId="192621C4" w:rsidR="00D972D5" w:rsidRDefault="00D972D5" w:rsidP="00FC754B"/>
    <w:p w14:paraId="66EA2C13" w14:textId="40A9C6DE" w:rsidR="003E485A" w:rsidRDefault="003E485A" w:rsidP="00FC754B"/>
    <w:p w14:paraId="548044BE" w14:textId="372C1B08" w:rsidR="003E485A" w:rsidRDefault="003E485A" w:rsidP="003E485A">
      <w:r>
        <w:t xml:space="preserve">  Bekir YILDIZ                     </w:t>
      </w:r>
      <w:r>
        <w:tab/>
      </w:r>
      <w:r>
        <w:tab/>
        <w:t xml:space="preserve">          Murat ESER                          </w:t>
      </w:r>
      <w:r>
        <w:tab/>
        <w:t xml:space="preserve">          Gökhan GÖKBAY</w:t>
      </w:r>
    </w:p>
    <w:p w14:paraId="57DA170C" w14:textId="11E230E1" w:rsidR="003E485A" w:rsidRDefault="003E485A" w:rsidP="003E485A">
      <w:r>
        <w:t xml:space="preserve">Meclis Başkan V.                                               </w:t>
      </w:r>
      <w:proofErr w:type="gramStart"/>
      <w:r>
        <w:t>Katip</w:t>
      </w:r>
      <w:proofErr w:type="gramEnd"/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Katip</w:t>
      </w:r>
      <w:proofErr w:type="spellEnd"/>
    </w:p>
    <w:p w14:paraId="4C3F170D" w14:textId="77777777" w:rsidR="003E485A" w:rsidRPr="00A62237" w:rsidRDefault="003E485A" w:rsidP="00FC754B"/>
    <w:sectPr w:rsidR="003E485A" w:rsidRPr="00A62237">
      <w:headerReference w:type="default" r:id="rId8"/>
      <w:footerReference w:type="default" r:id="rId9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FE5B3" w14:textId="77777777" w:rsidR="0085765B" w:rsidRDefault="0085765B">
      <w:r>
        <w:separator/>
      </w:r>
    </w:p>
  </w:endnote>
  <w:endnote w:type="continuationSeparator" w:id="0">
    <w:p w14:paraId="605FF064" w14:textId="77777777" w:rsidR="0085765B" w:rsidRDefault="0085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10810"/>
      <w:docPartObj>
        <w:docPartGallery w:val="Page Numbers (Bottom of Page)"/>
        <w:docPartUnique/>
      </w:docPartObj>
    </w:sdtPr>
    <w:sdtEndPr/>
    <w:sdtContent>
      <w:p w14:paraId="0F66F6FF" w14:textId="67EDB52F" w:rsidR="00EE6CEA" w:rsidRDefault="00EE6CE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78B72C11" w14:textId="77777777" w:rsidR="001B77DD" w:rsidRDefault="001B77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9BEE7" w14:textId="77777777" w:rsidR="0085765B" w:rsidRDefault="0085765B">
      <w:r>
        <w:separator/>
      </w:r>
    </w:p>
  </w:footnote>
  <w:footnote w:type="continuationSeparator" w:id="0">
    <w:p w14:paraId="627F355A" w14:textId="77777777" w:rsidR="0085765B" w:rsidRDefault="0085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3588ECC5" w14:textId="77777777" w:rsidR="00A912E3" w:rsidRDefault="00A912E3">
    <w:pPr>
      <w:jc w:val="both"/>
      <w:rPr>
        <w:b/>
      </w:rPr>
    </w:pPr>
  </w:p>
  <w:p w14:paraId="60F00AB2" w14:textId="77777777" w:rsidR="00A912E3" w:rsidRDefault="00A912E3">
    <w:pPr>
      <w:jc w:val="both"/>
      <w:rPr>
        <w:b/>
      </w:rPr>
    </w:pPr>
  </w:p>
  <w:p w14:paraId="128EDBD0" w14:textId="2F65719C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FC05C8">
      <w:rPr>
        <w:b/>
      </w:rPr>
      <w:t>65</w:t>
    </w:r>
    <w:r w:rsidR="00C06786">
      <w:rPr>
        <w:b/>
      </w:rPr>
      <w:t xml:space="preserve">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1B77DD">
      <w:rPr>
        <w:b/>
      </w:rPr>
      <w:t>0</w:t>
    </w:r>
    <w:r w:rsidR="00FC05C8">
      <w:rPr>
        <w:b/>
      </w:rPr>
      <w:t>8</w:t>
    </w:r>
    <w:r w:rsidR="001B77DD">
      <w:rPr>
        <w:b/>
      </w:rPr>
      <w:t>.0</w:t>
    </w:r>
    <w:r w:rsidR="00FC05C8">
      <w:rPr>
        <w:b/>
      </w:rPr>
      <w:t>4</w:t>
    </w:r>
    <w:r w:rsidR="00C06786">
      <w:rPr>
        <w:b/>
      </w:rPr>
      <w:t>.20</w:t>
    </w:r>
    <w:r w:rsidR="007B797C">
      <w:rPr>
        <w:b/>
      </w:rPr>
      <w:t>2</w:t>
    </w:r>
    <w:r w:rsidR="00A62237">
      <w:rPr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69DD"/>
    <w:multiLevelType w:val="hybridMultilevel"/>
    <w:tmpl w:val="1618D742"/>
    <w:lvl w:ilvl="0" w:tplc="77E03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608"/>
    <w:multiLevelType w:val="hybridMultilevel"/>
    <w:tmpl w:val="DEB66D50"/>
    <w:lvl w:ilvl="0" w:tplc="ABAEC72C">
      <w:start w:val="7221"/>
      <w:numFmt w:val="decimal"/>
      <w:lvlText w:val="%1"/>
      <w:lvlJc w:val="left"/>
      <w:pPr>
        <w:ind w:left="3462" w:hanging="540"/>
      </w:pPr>
      <w:rPr>
        <w:rFonts w:hint="default"/>
      </w:rPr>
    </w:lvl>
    <w:lvl w:ilvl="1" w:tplc="041F000F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3294" w:hanging="180"/>
      </w:pPr>
    </w:lvl>
    <w:lvl w:ilvl="3" w:tplc="041F000F" w:tentative="1">
      <w:start w:val="1"/>
      <w:numFmt w:val="decimal"/>
      <w:lvlText w:val="%4."/>
      <w:lvlJc w:val="left"/>
      <w:pPr>
        <w:ind w:left="4014" w:hanging="360"/>
      </w:pPr>
    </w:lvl>
    <w:lvl w:ilvl="4" w:tplc="041F0019" w:tentative="1">
      <w:start w:val="1"/>
      <w:numFmt w:val="lowerLetter"/>
      <w:lvlText w:val="%5."/>
      <w:lvlJc w:val="left"/>
      <w:pPr>
        <w:ind w:left="4734" w:hanging="360"/>
      </w:pPr>
    </w:lvl>
    <w:lvl w:ilvl="5" w:tplc="041F001B" w:tentative="1">
      <w:start w:val="1"/>
      <w:numFmt w:val="lowerRoman"/>
      <w:lvlText w:val="%6."/>
      <w:lvlJc w:val="right"/>
      <w:pPr>
        <w:ind w:left="5454" w:hanging="180"/>
      </w:pPr>
    </w:lvl>
    <w:lvl w:ilvl="6" w:tplc="041F000F" w:tentative="1">
      <w:start w:val="1"/>
      <w:numFmt w:val="decimal"/>
      <w:lvlText w:val="%7."/>
      <w:lvlJc w:val="left"/>
      <w:pPr>
        <w:ind w:left="6174" w:hanging="360"/>
      </w:pPr>
    </w:lvl>
    <w:lvl w:ilvl="7" w:tplc="041F0019" w:tentative="1">
      <w:start w:val="1"/>
      <w:numFmt w:val="lowerLetter"/>
      <w:lvlText w:val="%8."/>
      <w:lvlJc w:val="left"/>
      <w:pPr>
        <w:ind w:left="6894" w:hanging="360"/>
      </w:pPr>
    </w:lvl>
    <w:lvl w:ilvl="8" w:tplc="041F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8214F9F"/>
    <w:multiLevelType w:val="hybridMultilevel"/>
    <w:tmpl w:val="BB0684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6710"/>
    <w:multiLevelType w:val="hybridMultilevel"/>
    <w:tmpl w:val="26168892"/>
    <w:lvl w:ilvl="0" w:tplc="3FAC1CE2"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7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4612287"/>
    <w:multiLevelType w:val="hybridMultilevel"/>
    <w:tmpl w:val="9A702990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C727BD0"/>
    <w:multiLevelType w:val="hybridMultilevel"/>
    <w:tmpl w:val="4B9ACA8A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06E96"/>
    <w:rsid w:val="00024F2F"/>
    <w:rsid w:val="00045725"/>
    <w:rsid w:val="0005404D"/>
    <w:rsid w:val="00070EB2"/>
    <w:rsid w:val="000913DD"/>
    <w:rsid w:val="00093925"/>
    <w:rsid w:val="000A647F"/>
    <w:rsid w:val="000B7A27"/>
    <w:rsid w:val="000C7440"/>
    <w:rsid w:val="000D5A7D"/>
    <w:rsid w:val="000D64F7"/>
    <w:rsid w:val="000E13B3"/>
    <w:rsid w:val="000E5A6B"/>
    <w:rsid w:val="000F05BB"/>
    <w:rsid w:val="000F4B94"/>
    <w:rsid w:val="000F79AE"/>
    <w:rsid w:val="001057E5"/>
    <w:rsid w:val="00120547"/>
    <w:rsid w:val="00123070"/>
    <w:rsid w:val="0012738F"/>
    <w:rsid w:val="00136BAC"/>
    <w:rsid w:val="00146677"/>
    <w:rsid w:val="0015531E"/>
    <w:rsid w:val="00160B14"/>
    <w:rsid w:val="001656C0"/>
    <w:rsid w:val="001767A5"/>
    <w:rsid w:val="001928DE"/>
    <w:rsid w:val="001A5701"/>
    <w:rsid w:val="001B77DD"/>
    <w:rsid w:val="001B7EAA"/>
    <w:rsid w:val="001C5B2D"/>
    <w:rsid w:val="001D1445"/>
    <w:rsid w:val="001D2257"/>
    <w:rsid w:val="001D7342"/>
    <w:rsid w:val="001D7C88"/>
    <w:rsid w:val="001E074E"/>
    <w:rsid w:val="001E11DA"/>
    <w:rsid w:val="00232F7B"/>
    <w:rsid w:val="0023380F"/>
    <w:rsid w:val="00252F2F"/>
    <w:rsid w:val="002536CD"/>
    <w:rsid w:val="00256AA5"/>
    <w:rsid w:val="00281B9A"/>
    <w:rsid w:val="00285C03"/>
    <w:rsid w:val="002A380A"/>
    <w:rsid w:val="002B2B90"/>
    <w:rsid w:val="002B372D"/>
    <w:rsid w:val="002F0871"/>
    <w:rsid w:val="002F0B6B"/>
    <w:rsid w:val="002F12E9"/>
    <w:rsid w:val="002F5BCB"/>
    <w:rsid w:val="00304DE6"/>
    <w:rsid w:val="00321F72"/>
    <w:rsid w:val="00322B7C"/>
    <w:rsid w:val="003247C3"/>
    <w:rsid w:val="003271D1"/>
    <w:rsid w:val="00331C1D"/>
    <w:rsid w:val="003402C5"/>
    <w:rsid w:val="0034616D"/>
    <w:rsid w:val="003558B0"/>
    <w:rsid w:val="003757EE"/>
    <w:rsid w:val="00381AE7"/>
    <w:rsid w:val="00386C7E"/>
    <w:rsid w:val="00392ACF"/>
    <w:rsid w:val="003B0B6D"/>
    <w:rsid w:val="003E485A"/>
    <w:rsid w:val="003E4D24"/>
    <w:rsid w:val="003F76F5"/>
    <w:rsid w:val="0041537D"/>
    <w:rsid w:val="00422533"/>
    <w:rsid w:val="004418ED"/>
    <w:rsid w:val="004513D2"/>
    <w:rsid w:val="0046561C"/>
    <w:rsid w:val="00485CF3"/>
    <w:rsid w:val="004C0F60"/>
    <w:rsid w:val="004E072C"/>
    <w:rsid w:val="004F33DB"/>
    <w:rsid w:val="00516821"/>
    <w:rsid w:val="00540058"/>
    <w:rsid w:val="0054778B"/>
    <w:rsid w:val="005662C4"/>
    <w:rsid w:val="00566E1C"/>
    <w:rsid w:val="00567C2B"/>
    <w:rsid w:val="0057234A"/>
    <w:rsid w:val="00580D32"/>
    <w:rsid w:val="00590A58"/>
    <w:rsid w:val="00595FFA"/>
    <w:rsid w:val="005D0839"/>
    <w:rsid w:val="00600E8B"/>
    <w:rsid w:val="00603BF5"/>
    <w:rsid w:val="00631D59"/>
    <w:rsid w:val="00666F06"/>
    <w:rsid w:val="00671CF3"/>
    <w:rsid w:val="00673331"/>
    <w:rsid w:val="006779E9"/>
    <w:rsid w:val="0068403B"/>
    <w:rsid w:val="00694662"/>
    <w:rsid w:val="00694B1A"/>
    <w:rsid w:val="006A5BE4"/>
    <w:rsid w:val="006B1B7E"/>
    <w:rsid w:val="006B3F4A"/>
    <w:rsid w:val="006F4D9E"/>
    <w:rsid w:val="006F6E65"/>
    <w:rsid w:val="00716104"/>
    <w:rsid w:val="00716924"/>
    <w:rsid w:val="00724C91"/>
    <w:rsid w:val="00753221"/>
    <w:rsid w:val="007938AD"/>
    <w:rsid w:val="007A2652"/>
    <w:rsid w:val="007B087F"/>
    <w:rsid w:val="007B797C"/>
    <w:rsid w:val="007D005E"/>
    <w:rsid w:val="007D0D2F"/>
    <w:rsid w:val="007E7825"/>
    <w:rsid w:val="0080247C"/>
    <w:rsid w:val="0081222A"/>
    <w:rsid w:val="008239FD"/>
    <w:rsid w:val="008363AA"/>
    <w:rsid w:val="00837BF8"/>
    <w:rsid w:val="00845156"/>
    <w:rsid w:val="008534BB"/>
    <w:rsid w:val="00854692"/>
    <w:rsid w:val="0085765B"/>
    <w:rsid w:val="00861315"/>
    <w:rsid w:val="00873D52"/>
    <w:rsid w:val="00880275"/>
    <w:rsid w:val="00895C6A"/>
    <w:rsid w:val="008B7B80"/>
    <w:rsid w:val="00911A62"/>
    <w:rsid w:val="0091231F"/>
    <w:rsid w:val="00916F9C"/>
    <w:rsid w:val="009322FB"/>
    <w:rsid w:val="00936100"/>
    <w:rsid w:val="00937143"/>
    <w:rsid w:val="00947686"/>
    <w:rsid w:val="00952845"/>
    <w:rsid w:val="0095511A"/>
    <w:rsid w:val="00962176"/>
    <w:rsid w:val="00966D65"/>
    <w:rsid w:val="0097229F"/>
    <w:rsid w:val="00982923"/>
    <w:rsid w:val="009A3F9F"/>
    <w:rsid w:val="009A3FFA"/>
    <w:rsid w:val="009D0410"/>
    <w:rsid w:val="009D1418"/>
    <w:rsid w:val="009F6310"/>
    <w:rsid w:val="00A1502C"/>
    <w:rsid w:val="00A32026"/>
    <w:rsid w:val="00A4613A"/>
    <w:rsid w:val="00A62237"/>
    <w:rsid w:val="00A65BB2"/>
    <w:rsid w:val="00A80C44"/>
    <w:rsid w:val="00A84555"/>
    <w:rsid w:val="00A912E3"/>
    <w:rsid w:val="00AA1EB4"/>
    <w:rsid w:val="00AB5AF9"/>
    <w:rsid w:val="00AE078F"/>
    <w:rsid w:val="00B54E19"/>
    <w:rsid w:val="00B61C1E"/>
    <w:rsid w:val="00B86E5C"/>
    <w:rsid w:val="00BA79BD"/>
    <w:rsid w:val="00BC0BF1"/>
    <w:rsid w:val="00BC3A02"/>
    <w:rsid w:val="00BD227D"/>
    <w:rsid w:val="00BD7FAC"/>
    <w:rsid w:val="00BE568F"/>
    <w:rsid w:val="00BE6288"/>
    <w:rsid w:val="00BF39AA"/>
    <w:rsid w:val="00C0544A"/>
    <w:rsid w:val="00C06786"/>
    <w:rsid w:val="00C24999"/>
    <w:rsid w:val="00C532E2"/>
    <w:rsid w:val="00C6025D"/>
    <w:rsid w:val="00C605CE"/>
    <w:rsid w:val="00C63813"/>
    <w:rsid w:val="00C83BC0"/>
    <w:rsid w:val="00C9364F"/>
    <w:rsid w:val="00C96D7D"/>
    <w:rsid w:val="00CA4B10"/>
    <w:rsid w:val="00CE2260"/>
    <w:rsid w:val="00CF485C"/>
    <w:rsid w:val="00CF5485"/>
    <w:rsid w:val="00D10478"/>
    <w:rsid w:val="00D10A5B"/>
    <w:rsid w:val="00D44585"/>
    <w:rsid w:val="00D64189"/>
    <w:rsid w:val="00D74178"/>
    <w:rsid w:val="00D769A6"/>
    <w:rsid w:val="00D86812"/>
    <w:rsid w:val="00D972D5"/>
    <w:rsid w:val="00DA6147"/>
    <w:rsid w:val="00DA7628"/>
    <w:rsid w:val="00DB3249"/>
    <w:rsid w:val="00DC6AFC"/>
    <w:rsid w:val="00DD3AD1"/>
    <w:rsid w:val="00DD672E"/>
    <w:rsid w:val="00DF2CB4"/>
    <w:rsid w:val="00DF730A"/>
    <w:rsid w:val="00E03798"/>
    <w:rsid w:val="00E11EF0"/>
    <w:rsid w:val="00E15A2B"/>
    <w:rsid w:val="00E17A83"/>
    <w:rsid w:val="00E22339"/>
    <w:rsid w:val="00E23EB9"/>
    <w:rsid w:val="00E27FC6"/>
    <w:rsid w:val="00E370F0"/>
    <w:rsid w:val="00E53496"/>
    <w:rsid w:val="00E8321B"/>
    <w:rsid w:val="00E87F11"/>
    <w:rsid w:val="00E92084"/>
    <w:rsid w:val="00E950E7"/>
    <w:rsid w:val="00EA7D6F"/>
    <w:rsid w:val="00EB3C6D"/>
    <w:rsid w:val="00EE0E0F"/>
    <w:rsid w:val="00EE6CEA"/>
    <w:rsid w:val="00EF6136"/>
    <w:rsid w:val="00F002AA"/>
    <w:rsid w:val="00F063BF"/>
    <w:rsid w:val="00F37B6C"/>
    <w:rsid w:val="00F50025"/>
    <w:rsid w:val="00F50708"/>
    <w:rsid w:val="00F5357E"/>
    <w:rsid w:val="00F72D73"/>
    <w:rsid w:val="00F763ED"/>
    <w:rsid w:val="00FA1631"/>
    <w:rsid w:val="00FA7F0C"/>
    <w:rsid w:val="00FB7F87"/>
    <w:rsid w:val="00FC05C8"/>
    <w:rsid w:val="00FC28F6"/>
    <w:rsid w:val="00FC754B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1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18C1-46E2-4276-8BF3-ADECB6F19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40</cp:revision>
  <cp:lastPrinted>2025-04-08T13:07:00Z</cp:lastPrinted>
  <dcterms:created xsi:type="dcterms:W3CDTF">2020-09-04T12:22:00Z</dcterms:created>
  <dcterms:modified xsi:type="dcterms:W3CDTF">2025-04-08T13:48:00Z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