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7613" w14:textId="77777777" w:rsidR="005F384C" w:rsidRPr="006F4EDC" w:rsidRDefault="005F384C" w:rsidP="00673331">
      <w:pPr>
        <w:tabs>
          <w:tab w:val="left" w:pos="1943"/>
        </w:tabs>
        <w:ind w:firstLine="709"/>
        <w:jc w:val="center"/>
        <w:rPr>
          <w:b/>
        </w:rPr>
      </w:pPr>
    </w:p>
    <w:p w14:paraId="3B942B3F" w14:textId="538BC198" w:rsidR="001928DE" w:rsidRPr="006F4EDC" w:rsidRDefault="00C06786" w:rsidP="00673331">
      <w:pPr>
        <w:tabs>
          <w:tab w:val="left" w:pos="1943"/>
        </w:tabs>
        <w:ind w:firstLine="709"/>
        <w:jc w:val="center"/>
        <w:rPr>
          <w:b/>
        </w:rPr>
      </w:pPr>
      <w:proofErr w:type="gramStart"/>
      <w:r w:rsidRPr="006F4EDC">
        <w:rPr>
          <w:b/>
        </w:rPr>
        <w:t>K  A</w:t>
      </w:r>
      <w:proofErr w:type="gramEnd"/>
      <w:r w:rsidRPr="006F4EDC">
        <w:rPr>
          <w:b/>
        </w:rPr>
        <w:t xml:space="preserve">  R  A  R</w:t>
      </w:r>
    </w:p>
    <w:p w14:paraId="5B91E1E5" w14:textId="77777777" w:rsidR="005F384C" w:rsidRPr="006F4EDC" w:rsidRDefault="005F384C" w:rsidP="0003509C">
      <w:pPr>
        <w:ind w:firstLine="708"/>
        <w:jc w:val="both"/>
      </w:pPr>
      <w:bookmarkStart w:id="0" w:name="__DdeLink__146_2610451006"/>
    </w:p>
    <w:p w14:paraId="38092CBB" w14:textId="0AAD8008" w:rsidR="00794C09" w:rsidRPr="006F4EDC" w:rsidRDefault="006F4EDC" w:rsidP="00E567BE">
      <w:pPr>
        <w:ind w:firstLine="708"/>
        <w:jc w:val="both"/>
      </w:pPr>
      <w:r w:rsidRPr="006F4EDC">
        <w:t xml:space="preserve">İstiklal Mahallesi 101528 Ada 1 Parselin bir kısmının Sağlık Tesis Alanı kullanımına dönüştürülmesine yönelik hazırlanan 1/1000 Ölçekli Uygulama İmar Planı Değişikliği ile </w:t>
      </w:r>
      <w:r w:rsidRPr="006F4EDC">
        <w:rPr>
          <w:rFonts w:eastAsia="Calibri"/>
          <w:bCs/>
          <w:lang w:eastAsia="en-US"/>
        </w:rPr>
        <w:t xml:space="preserve">ilgili </w:t>
      </w:r>
      <w:r w:rsidR="002316EC" w:rsidRPr="006F4EDC">
        <w:rPr>
          <w:rFonts w:eastAsia="Calibri"/>
          <w:lang w:eastAsia="en-US"/>
        </w:rPr>
        <w:t>İmar ve Bayındırlık Komisyonu</w:t>
      </w:r>
      <w:r w:rsidR="00F063BF" w:rsidRPr="006F4EDC">
        <w:rPr>
          <w:rFonts w:eastAsia="Calibri"/>
          <w:color w:val="000000"/>
        </w:rPr>
        <w:t>nun</w:t>
      </w:r>
      <w:bookmarkEnd w:id="0"/>
      <w:r w:rsidR="00F063BF" w:rsidRPr="006F4EDC">
        <w:rPr>
          <w:rFonts w:eastAsia="Calibri"/>
          <w:color w:val="000000"/>
        </w:rPr>
        <w:t xml:space="preserve"> </w:t>
      </w:r>
      <w:r w:rsidRPr="006F4EDC">
        <w:rPr>
          <w:rFonts w:eastAsia="Calibri"/>
          <w:color w:val="000000"/>
        </w:rPr>
        <w:t>06</w:t>
      </w:r>
      <w:r w:rsidR="003F76F5" w:rsidRPr="006F4EDC">
        <w:rPr>
          <w:rFonts w:eastAsia="Calibri"/>
          <w:color w:val="000000"/>
        </w:rPr>
        <w:t>.</w:t>
      </w:r>
      <w:r w:rsidR="007D27C9" w:rsidRPr="006F4EDC">
        <w:rPr>
          <w:rFonts w:eastAsia="Calibri"/>
          <w:color w:val="000000"/>
        </w:rPr>
        <w:t>0</w:t>
      </w:r>
      <w:r w:rsidRPr="006F4EDC">
        <w:rPr>
          <w:rFonts w:eastAsia="Calibri"/>
          <w:color w:val="000000"/>
        </w:rPr>
        <w:t>4</w:t>
      </w:r>
      <w:r w:rsidR="009D346A" w:rsidRPr="006F4EDC">
        <w:rPr>
          <w:rFonts w:eastAsia="Calibri"/>
          <w:color w:val="000000"/>
        </w:rPr>
        <w:t>.202</w:t>
      </w:r>
      <w:r w:rsidR="007D27C9" w:rsidRPr="006F4EDC">
        <w:rPr>
          <w:rFonts w:eastAsia="Calibri"/>
          <w:color w:val="000000"/>
        </w:rPr>
        <w:t>6</w:t>
      </w:r>
      <w:r w:rsidR="00F063BF" w:rsidRPr="006F4EDC">
        <w:rPr>
          <w:rFonts w:eastAsia="Calibri"/>
          <w:color w:val="000000"/>
        </w:rPr>
        <w:t xml:space="preserve"> tarih ve </w:t>
      </w:r>
      <w:r w:rsidRPr="006F4EDC">
        <w:rPr>
          <w:rFonts w:eastAsia="Calibri"/>
          <w:color w:val="000000"/>
        </w:rPr>
        <w:t>11</w:t>
      </w:r>
      <w:r w:rsidR="00123070" w:rsidRPr="006F4EDC">
        <w:rPr>
          <w:rFonts w:eastAsia="Calibri"/>
          <w:color w:val="000000"/>
        </w:rPr>
        <w:t xml:space="preserve"> </w:t>
      </w:r>
      <w:r w:rsidR="00F063BF" w:rsidRPr="006F4EDC">
        <w:rPr>
          <w:rFonts w:eastAsia="Calibri"/>
          <w:color w:val="000000"/>
        </w:rPr>
        <w:t>sayılı</w:t>
      </w:r>
      <w:r w:rsidR="00590A58" w:rsidRPr="006F4EDC">
        <w:rPr>
          <w:rFonts w:eastAsia="Calibri"/>
          <w:color w:val="000000"/>
        </w:rPr>
        <w:t xml:space="preserve"> </w:t>
      </w:r>
      <w:r w:rsidR="00F063BF" w:rsidRPr="006F4EDC">
        <w:rPr>
          <w:rFonts w:eastAsia="Calibri"/>
          <w:color w:val="000000"/>
        </w:rPr>
        <w:t>raporu.</w:t>
      </w:r>
    </w:p>
    <w:p w14:paraId="72B83B77" w14:textId="77777777" w:rsidR="006F4EDC" w:rsidRPr="006F4EDC" w:rsidRDefault="00C06786" w:rsidP="006F4EDC">
      <w:pPr>
        <w:ind w:firstLine="708"/>
        <w:contextualSpacing/>
        <w:jc w:val="both"/>
      </w:pPr>
      <w:r w:rsidRPr="006F4EDC">
        <w:t>(</w:t>
      </w:r>
      <w:r w:rsidR="006F4EDC" w:rsidRPr="006F4EDC">
        <w:t xml:space="preserve">Belediye meclisimizin 01.04.2026 tarihinde yapmış olduğu birleşimde görüşülerek komisyonumuza havale edilen, İstiklal Mahallesi 101528 Ada 1 Parselin bir kısmının Sağlık Tesis Alanı kullanımına dönüştürülmesine yönelik hazırlanan 1/1000 Ölçekli Uygulama İmar Planı Değişikliği ile </w:t>
      </w:r>
      <w:r w:rsidR="006F4EDC" w:rsidRPr="006F4EDC">
        <w:rPr>
          <w:rFonts w:eastAsia="Calibri"/>
          <w:bCs/>
          <w:lang w:eastAsia="en-US"/>
        </w:rPr>
        <w:t xml:space="preserve">ilgili </w:t>
      </w:r>
      <w:r w:rsidR="006F4EDC" w:rsidRPr="006F4EDC">
        <w:t>dosya incelendi.</w:t>
      </w:r>
    </w:p>
    <w:p w14:paraId="20CE4A5B" w14:textId="77777777" w:rsidR="006F4EDC" w:rsidRPr="006F4EDC" w:rsidRDefault="006F4EDC" w:rsidP="006F4EDC">
      <w:pPr>
        <w:ind w:firstLine="708"/>
        <w:contextualSpacing/>
        <w:jc w:val="both"/>
      </w:pPr>
    </w:p>
    <w:p w14:paraId="25073DEE" w14:textId="77777777" w:rsidR="006F4EDC" w:rsidRPr="006F4EDC" w:rsidRDefault="006F4EDC" w:rsidP="006F4EDC">
      <w:pPr>
        <w:ind w:firstLine="708"/>
        <w:jc w:val="both"/>
        <w:rPr>
          <w:b/>
          <w:u w:val="single"/>
        </w:rPr>
      </w:pPr>
      <w:r w:rsidRPr="006F4EDC">
        <w:rPr>
          <w:b/>
          <w:u w:val="single"/>
        </w:rPr>
        <w:t>Yapılan inceleme ile;</w:t>
      </w:r>
    </w:p>
    <w:p w14:paraId="21DFA822" w14:textId="77777777" w:rsidR="006F4EDC" w:rsidRPr="006F4EDC" w:rsidRDefault="006F4EDC" w:rsidP="006F4EDC">
      <w:pPr>
        <w:pStyle w:val="NormalWeb"/>
        <w:jc w:val="both"/>
      </w:pPr>
      <w:r w:rsidRPr="006F4EDC">
        <w:t xml:space="preserve"> </w:t>
      </w:r>
      <w:r w:rsidRPr="006F4EDC">
        <w:tab/>
        <w:t xml:space="preserve">Söz konusu alanın, mülga Temelli Belediye Meclisi’nin 07.10.2002 tarih ve 94 sayılı kararı ile onaylanan 1/1000 ölçekli Uygulama İmar Planında E:0.10, </w:t>
      </w:r>
      <w:proofErr w:type="spellStart"/>
      <w:proofErr w:type="gramStart"/>
      <w:r w:rsidRPr="006F4EDC">
        <w:t>Yençok:Serbest</w:t>
      </w:r>
      <w:proofErr w:type="spellEnd"/>
      <w:proofErr w:type="gramEnd"/>
      <w:r w:rsidRPr="006F4EDC">
        <w:t xml:space="preserve"> yapılaşma koşullarına sahip “Temelli Uluslararası Göl Alanı” kullanımında yer aldığı,</w:t>
      </w:r>
    </w:p>
    <w:p w14:paraId="1C41DD92" w14:textId="77777777" w:rsidR="006F4EDC" w:rsidRPr="006F4EDC" w:rsidRDefault="006F4EDC" w:rsidP="006F4EDC">
      <w:pPr>
        <w:pStyle w:val="NormalWeb"/>
        <w:ind w:firstLine="708"/>
        <w:jc w:val="both"/>
      </w:pPr>
      <w:r w:rsidRPr="006F4EDC">
        <w:t xml:space="preserve">Sincan Belediye Meclisi’nin 21.05.2021 tarih ve 114 sayılı kararı doğrultusunda Ankara Büyükşehir Belediye Meclisi’nin 09.03.2022 tarih ve 514 sayılı kararı ile </w:t>
      </w:r>
      <w:proofErr w:type="spellStart"/>
      <w:proofErr w:type="gramStart"/>
      <w:r w:rsidRPr="006F4EDC">
        <w:t>Yençok:Serbest</w:t>
      </w:r>
      <w:proofErr w:type="spellEnd"/>
      <w:proofErr w:type="gramEnd"/>
      <w:r w:rsidRPr="006F4EDC">
        <w:t xml:space="preserve"> yapılaşma koşullarının Yençok:5 Kat olarak belirlendiği,</w:t>
      </w:r>
    </w:p>
    <w:p w14:paraId="25DDECE1" w14:textId="77777777" w:rsidR="006F4EDC" w:rsidRPr="006F4EDC" w:rsidRDefault="006F4EDC" w:rsidP="006F4EDC">
      <w:pPr>
        <w:pStyle w:val="NormalWeb"/>
        <w:ind w:firstLine="708"/>
        <w:jc w:val="both"/>
      </w:pPr>
      <w:r w:rsidRPr="006F4EDC">
        <w:t>Söz konusu İmar planı değişikliğine açılan dava sonucu Ankara 11. İdare Mahkemesinin 09.10.2023 tarihli 2022/2060 E. 2023/1786 sayılı kararı ile imar planı değişikliğinin iptal edildiği,</w:t>
      </w:r>
    </w:p>
    <w:p w14:paraId="4DD5281D" w14:textId="77777777" w:rsidR="006F4EDC" w:rsidRPr="006F4EDC" w:rsidRDefault="006F4EDC" w:rsidP="006F4EDC">
      <w:pPr>
        <w:pStyle w:val="NormalWeb"/>
        <w:ind w:firstLine="708"/>
        <w:jc w:val="both"/>
      </w:pPr>
      <w:r w:rsidRPr="006F4EDC">
        <w:t>Mahkeme kararının iptal edilmesi sonrasında; Sincan Belediye Meclisi’nin 07.06.2024 tarih ve 101 sayılı kararı ile uygun görülen ve Ankara Büyükşehir Belediyesi Meclisi’nin 09.08.2024 tarih ve 956 sayılı kararı ile onaylanan 1/1000 ölçekli Uygulama İmar Planı kapsamında, 101528 Ada 1 Parselin, mahkeme kararı öncesinde yürürlükte bulunan son onaylı imar planındaki E:0.10, Yençok:5 Kat yapılaşma koşullarına sahip “Temelli Uluslararası Göl Alanı” kullanımına geri döndüğü,</w:t>
      </w:r>
    </w:p>
    <w:p w14:paraId="0570B91B" w14:textId="77777777" w:rsidR="006F4EDC" w:rsidRPr="006F4EDC" w:rsidRDefault="006F4EDC" w:rsidP="006F4EDC">
      <w:pPr>
        <w:pStyle w:val="NormalWeb"/>
        <w:numPr>
          <w:ilvl w:val="0"/>
          <w:numId w:val="35"/>
        </w:numPr>
        <w:spacing w:before="100" w:after="100"/>
        <w:jc w:val="both"/>
      </w:pPr>
      <w:r w:rsidRPr="006F4EDC">
        <w:t>İstiklal Mahallesi 101528 Ada 1 Parselin yüzölçümü ve mülkiyet durumu aşağıdaki tablodaki gibi olduğu,</w:t>
      </w:r>
    </w:p>
    <w:tbl>
      <w:tblPr>
        <w:tblW w:w="4786" w:type="pct"/>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1941"/>
        <w:gridCol w:w="2750"/>
        <w:gridCol w:w="1456"/>
        <w:gridCol w:w="1613"/>
      </w:tblGrid>
      <w:tr w:rsidR="006F4EDC" w:rsidRPr="006F4EDC" w14:paraId="6108E309" w14:textId="77777777" w:rsidTr="00E8707E">
        <w:trPr>
          <w:trHeight w:val="327"/>
        </w:trPr>
        <w:tc>
          <w:tcPr>
            <w:tcW w:w="790" w:type="pct"/>
            <w:noWrap/>
            <w:vAlign w:val="center"/>
            <w:hideMark/>
          </w:tcPr>
          <w:p w14:paraId="5079E8BF" w14:textId="77777777" w:rsidR="006F4EDC" w:rsidRPr="006F4EDC" w:rsidRDefault="006F4EDC" w:rsidP="00E8707E">
            <w:pPr>
              <w:spacing w:line="276" w:lineRule="auto"/>
              <w:jc w:val="both"/>
              <w:rPr>
                <w:rFonts w:eastAsia="Calibri"/>
                <w:b/>
                <w:lang w:eastAsia="en-US"/>
              </w:rPr>
            </w:pPr>
            <w:r w:rsidRPr="006F4EDC">
              <w:rPr>
                <w:rFonts w:eastAsia="Calibri"/>
                <w:b/>
                <w:lang w:eastAsia="en-US"/>
              </w:rPr>
              <w:t>Mahalle</w:t>
            </w:r>
          </w:p>
        </w:tc>
        <w:tc>
          <w:tcPr>
            <w:tcW w:w="1053" w:type="pct"/>
          </w:tcPr>
          <w:p w14:paraId="6FE2BA1B" w14:textId="77777777" w:rsidR="006F4EDC" w:rsidRPr="006F4EDC" w:rsidRDefault="006F4EDC" w:rsidP="00E8707E">
            <w:pPr>
              <w:spacing w:line="276" w:lineRule="auto"/>
              <w:jc w:val="both"/>
              <w:rPr>
                <w:rFonts w:eastAsia="Calibri"/>
                <w:b/>
                <w:lang w:eastAsia="en-US"/>
              </w:rPr>
            </w:pPr>
            <w:r w:rsidRPr="006F4EDC">
              <w:rPr>
                <w:rFonts w:eastAsia="Calibri"/>
                <w:b/>
                <w:lang w:eastAsia="en-US"/>
              </w:rPr>
              <w:t>Tapu Mahalle</w:t>
            </w:r>
          </w:p>
        </w:tc>
        <w:tc>
          <w:tcPr>
            <w:tcW w:w="1492" w:type="pct"/>
          </w:tcPr>
          <w:p w14:paraId="680A8C07" w14:textId="77777777" w:rsidR="006F4EDC" w:rsidRPr="006F4EDC" w:rsidRDefault="006F4EDC" w:rsidP="00E8707E">
            <w:pPr>
              <w:spacing w:line="276" w:lineRule="auto"/>
              <w:jc w:val="both"/>
              <w:rPr>
                <w:rFonts w:eastAsia="Calibri"/>
                <w:b/>
                <w:lang w:eastAsia="en-US"/>
              </w:rPr>
            </w:pPr>
            <w:r w:rsidRPr="006F4EDC">
              <w:rPr>
                <w:rFonts w:eastAsia="Calibri"/>
                <w:b/>
                <w:lang w:eastAsia="en-US"/>
              </w:rPr>
              <w:t>Mülkiyet</w:t>
            </w:r>
          </w:p>
        </w:tc>
        <w:tc>
          <w:tcPr>
            <w:tcW w:w="790" w:type="pct"/>
            <w:noWrap/>
            <w:vAlign w:val="center"/>
            <w:hideMark/>
          </w:tcPr>
          <w:p w14:paraId="77AAC9DF" w14:textId="77777777" w:rsidR="006F4EDC" w:rsidRPr="006F4EDC" w:rsidRDefault="006F4EDC" w:rsidP="00E8707E">
            <w:pPr>
              <w:spacing w:line="276" w:lineRule="auto"/>
              <w:jc w:val="both"/>
              <w:rPr>
                <w:rFonts w:eastAsia="Calibri"/>
                <w:b/>
                <w:lang w:eastAsia="en-US"/>
              </w:rPr>
            </w:pPr>
            <w:r w:rsidRPr="006F4EDC">
              <w:rPr>
                <w:rFonts w:eastAsia="Calibri"/>
                <w:b/>
                <w:lang w:eastAsia="en-US"/>
              </w:rPr>
              <w:t>Ada/Parsel</w:t>
            </w:r>
          </w:p>
        </w:tc>
        <w:tc>
          <w:tcPr>
            <w:tcW w:w="875" w:type="pct"/>
            <w:noWrap/>
            <w:vAlign w:val="center"/>
            <w:hideMark/>
          </w:tcPr>
          <w:p w14:paraId="6E0F6E57" w14:textId="77777777" w:rsidR="006F4EDC" w:rsidRPr="006F4EDC" w:rsidRDefault="006F4EDC" w:rsidP="00E8707E">
            <w:pPr>
              <w:spacing w:line="276" w:lineRule="auto"/>
              <w:jc w:val="both"/>
              <w:rPr>
                <w:rFonts w:eastAsia="Calibri"/>
                <w:b/>
                <w:lang w:eastAsia="en-US"/>
              </w:rPr>
            </w:pPr>
            <w:proofErr w:type="spellStart"/>
            <w:r w:rsidRPr="006F4EDC">
              <w:rPr>
                <w:rFonts w:eastAsia="Calibri"/>
                <w:b/>
                <w:lang w:eastAsia="en-US"/>
              </w:rPr>
              <w:t>Yüzölçüm</w:t>
            </w:r>
            <w:proofErr w:type="spellEnd"/>
          </w:p>
        </w:tc>
      </w:tr>
      <w:tr w:rsidR="006F4EDC" w:rsidRPr="006F4EDC" w14:paraId="795D3B0D" w14:textId="77777777" w:rsidTr="00E8707E">
        <w:trPr>
          <w:trHeight w:val="327"/>
        </w:trPr>
        <w:tc>
          <w:tcPr>
            <w:tcW w:w="790" w:type="pct"/>
            <w:noWrap/>
            <w:vAlign w:val="center"/>
            <w:hideMark/>
          </w:tcPr>
          <w:p w14:paraId="2CFAAB9C" w14:textId="77777777" w:rsidR="006F4EDC" w:rsidRPr="006F4EDC" w:rsidRDefault="006F4EDC" w:rsidP="00E8707E">
            <w:pPr>
              <w:spacing w:line="276" w:lineRule="auto"/>
              <w:jc w:val="both"/>
              <w:rPr>
                <w:rFonts w:eastAsia="Calibri"/>
                <w:lang w:eastAsia="en-US"/>
              </w:rPr>
            </w:pPr>
            <w:r w:rsidRPr="006F4EDC">
              <w:rPr>
                <w:rFonts w:eastAsia="Calibri"/>
                <w:lang w:eastAsia="en-US"/>
              </w:rPr>
              <w:t>Temelli</w:t>
            </w:r>
          </w:p>
        </w:tc>
        <w:tc>
          <w:tcPr>
            <w:tcW w:w="1053" w:type="pct"/>
          </w:tcPr>
          <w:p w14:paraId="27964342" w14:textId="77777777" w:rsidR="006F4EDC" w:rsidRPr="006F4EDC" w:rsidRDefault="006F4EDC" w:rsidP="00E8707E">
            <w:pPr>
              <w:spacing w:line="276" w:lineRule="auto"/>
              <w:jc w:val="both"/>
              <w:rPr>
                <w:rFonts w:eastAsia="Calibri"/>
                <w:lang w:eastAsia="en-US"/>
              </w:rPr>
            </w:pPr>
            <w:r w:rsidRPr="006F4EDC">
              <w:rPr>
                <w:rFonts w:eastAsia="Calibri"/>
                <w:lang w:eastAsia="en-US"/>
              </w:rPr>
              <w:t>Temelli</w:t>
            </w:r>
          </w:p>
        </w:tc>
        <w:tc>
          <w:tcPr>
            <w:tcW w:w="1492" w:type="pct"/>
          </w:tcPr>
          <w:p w14:paraId="4A9F0EAC" w14:textId="77777777" w:rsidR="006F4EDC" w:rsidRPr="006F4EDC" w:rsidRDefault="006F4EDC" w:rsidP="00E8707E">
            <w:pPr>
              <w:spacing w:line="276" w:lineRule="auto"/>
              <w:jc w:val="both"/>
              <w:rPr>
                <w:rFonts w:eastAsia="Calibri"/>
                <w:lang w:eastAsia="en-US"/>
              </w:rPr>
            </w:pPr>
            <w:r w:rsidRPr="006F4EDC">
              <w:rPr>
                <w:rFonts w:eastAsia="Calibri"/>
                <w:lang w:eastAsia="en-US"/>
              </w:rPr>
              <w:t>Sincan Belediyesi</w:t>
            </w:r>
          </w:p>
        </w:tc>
        <w:tc>
          <w:tcPr>
            <w:tcW w:w="790" w:type="pct"/>
            <w:noWrap/>
            <w:vAlign w:val="center"/>
          </w:tcPr>
          <w:p w14:paraId="5302B234" w14:textId="77777777" w:rsidR="006F4EDC" w:rsidRPr="006F4EDC" w:rsidRDefault="006F4EDC" w:rsidP="00E8707E">
            <w:pPr>
              <w:spacing w:line="276" w:lineRule="auto"/>
              <w:jc w:val="both"/>
              <w:rPr>
                <w:rFonts w:eastAsia="Calibri"/>
                <w:lang w:eastAsia="en-US"/>
              </w:rPr>
            </w:pPr>
            <w:r w:rsidRPr="006F4EDC">
              <w:rPr>
                <w:rFonts w:eastAsia="Calibri"/>
                <w:lang w:eastAsia="en-US"/>
              </w:rPr>
              <w:t>101528/1</w:t>
            </w:r>
          </w:p>
        </w:tc>
        <w:tc>
          <w:tcPr>
            <w:tcW w:w="875" w:type="pct"/>
            <w:noWrap/>
            <w:vAlign w:val="center"/>
          </w:tcPr>
          <w:p w14:paraId="297B46F0" w14:textId="77777777" w:rsidR="006F4EDC" w:rsidRPr="006F4EDC" w:rsidRDefault="006F4EDC" w:rsidP="00E8707E">
            <w:pPr>
              <w:spacing w:line="276" w:lineRule="auto"/>
              <w:jc w:val="both"/>
              <w:rPr>
                <w:rFonts w:eastAsia="Calibri"/>
                <w:lang w:eastAsia="en-US"/>
              </w:rPr>
            </w:pPr>
            <w:r w:rsidRPr="006F4EDC">
              <w:rPr>
                <w:rFonts w:eastAsia="Calibri"/>
                <w:lang w:eastAsia="en-US"/>
              </w:rPr>
              <w:t>298539.00</w:t>
            </w:r>
          </w:p>
        </w:tc>
      </w:tr>
    </w:tbl>
    <w:p w14:paraId="08AF6813" w14:textId="77777777" w:rsidR="006F4EDC" w:rsidRPr="006F4EDC" w:rsidRDefault="006F4EDC" w:rsidP="006F4EDC">
      <w:pPr>
        <w:jc w:val="both"/>
        <w:rPr>
          <w:u w:val="single"/>
        </w:rPr>
      </w:pPr>
    </w:p>
    <w:p w14:paraId="4C38483D" w14:textId="77777777" w:rsidR="006F4EDC" w:rsidRPr="006F4EDC" w:rsidRDefault="006F4EDC" w:rsidP="006F4EDC">
      <w:pPr>
        <w:spacing w:after="160" w:line="256" w:lineRule="auto"/>
        <w:ind w:firstLine="708"/>
        <w:jc w:val="both"/>
        <w:rPr>
          <w:rFonts w:eastAsia="Calibri"/>
          <w:lang w:eastAsia="en-US"/>
        </w:rPr>
      </w:pPr>
      <w:r w:rsidRPr="006F4EDC">
        <w:rPr>
          <w:rFonts w:eastAsia="Calibri"/>
          <w:lang w:eastAsia="en-US"/>
        </w:rPr>
        <w:t xml:space="preserve">101528 Ada 1 Parsel numaralı taşınmazın 2003 yılında yapılan imar uygulaması neticesinde Sincan Belediyesi mülkiyetindeki (devir olmadan önce Temelli Belediyesi) kadastro parseli (288 Ada 1 Parsel) ve yoldan ihdas şekliyle oluştuğu, </w:t>
      </w:r>
      <w:r w:rsidRPr="006F4EDC">
        <w:rPr>
          <w:rFonts w:eastAsia="Calibri"/>
          <w:b/>
          <w:lang w:eastAsia="en-US"/>
        </w:rPr>
        <w:t xml:space="preserve">herhangi bir şartlı bağış veya şartlı devir işlemi ile edinilmediği, </w:t>
      </w:r>
      <w:r w:rsidRPr="006F4EDC">
        <w:rPr>
          <w:rFonts w:eastAsia="Calibri"/>
          <w:lang w:eastAsia="en-US"/>
        </w:rPr>
        <w:t>tapu kaydında yer alan “Göl ve Rekreasyon Alanı dışında kullanılamaz” beyanının ilk parselasyon işlemi sırasında Temelli Belediyesi tarafından konulduğu, plan değişikliği işlemi ve devamındaki ifraz işlemi sonrasında oluşacak Sağlık Alanı parselinde ise Sincan Belediyesi tarafından kaldırılacağı,</w:t>
      </w:r>
    </w:p>
    <w:p w14:paraId="263833DD" w14:textId="43FFD7B9" w:rsidR="006F4EDC" w:rsidRDefault="006F4EDC" w:rsidP="006F4EDC">
      <w:pPr>
        <w:spacing w:after="160" w:line="256" w:lineRule="auto"/>
        <w:ind w:firstLine="576"/>
        <w:jc w:val="both"/>
        <w:rPr>
          <w:rFonts w:eastAsia="Calibri"/>
          <w:b/>
          <w:lang w:eastAsia="en-US"/>
        </w:rPr>
      </w:pPr>
      <w:r w:rsidRPr="006F4EDC">
        <w:rPr>
          <w:rFonts w:eastAsia="Calibri"/>
          <w:b/>
          <w:lang w:eastAsia="en-US"/>
        </w:rPr>
        <w:t>İmar planındaki kullanımının herhangi bir nüfusun ihtiyacı kapsamında donatı alanı olarak ayrılmadığı, bu nedenle imar planı değişikliği işlemi sırasında eş değer alan aranmasına ihtiyaç duyulmadığı,</w:t>
      </w:r>
    </w:p>
    <w:p w14:paraId="4903B850" w14:textId="77777777" w:rsidR="006F4EDC" w:rsidRPr="006F4EDC" w:rsidRDefault="006F4EDC" w:rsidP="006F4EDC">
      <w:pPr>
        <w:spacing w:after="160" w:line="256" w:lineRule="auto"/>
        <w:ind w:firstLine="576"/>
        <w:jc w:val="both"/>
        <w:rPr>
          <w:rFonts w:eastAsia="Calibri"/>
          <w:lang w:eastAsia="en-US"/>
        </w:rPr>
      </w:pPr>
    </w:p>
    <w:p w14:paraId="552A67BF" w14:textId="77777777" w:rsidR="006F4EDC" w:rsidRPr="006F4EDC" w:rsidRDefault="006F4EDC" w:rsidP="006F4EDC">
      <w:pPr>
        <w:ind w:right="-1" w:firstLine="576"/>
        <w:jc w:val="both"/>
        <w:rPr>
          <w:color w:val="000000"/>
        </w:rPr>
      </w:pPr>
      <w:r w:rsidRPr="006F4EDC">
        <w:rPr>
          <w:color w:val="000000"/>
        </w:rPr>
        <w:t xml:space="preserve">İlçemiz İstiklal Mahallesi sınırları içerisinde bulunan </w:t>
      </w:r>
      <w:r w:rsidRPr="006F4EDC">
        <w:t>“</w:t>
      </w:r>
      <w:r w:rsidRPr="006F4EDC">
        <w:rPr>
          <w:b/>
          <w:kern w:val="22"/>
          <w:lang w:eastAsia="ja-JP"/>
        </w:rPr>
        <w:t>Temelli İstiklal Mahallesi 101528 Ada 1 Parsele İlişkin 1/1000 Ölçekli Uygulama İmar Planı Değişikliği”</w:t>
      </w:r>
      <w:r w:rsidRPr="006F4EDC">
        <w:rPr>
          <w:b/>
          <w:bCs/>
          <w:color w:val="000000"/>
        </w:rPr>
        <w:t xml:space="preserve"> </w:t>
      </w:r>
      <w:r w:rsidRPr="006F4EDC">
        <w:rPr>
          <w:color w:val="000000"/>
        </w:rPr>
        <w:t>yapılmasına yönelik alınan Kurum görüşlerinin aşağıdaki gibi olduğu;</w:t>
      </w:r>
    </w:p>
    <w:p w14:paraId="56DAE8A5" w14:textId="77777777" w:rsidR="006F4EDC" w:rsidRPr="006F4EDC" w:rsidRDefault="006F4EDC" w:rsidP="006F4EDC">
      <w:pPr>
        <w:ind w:firstLine="360"/>
        <w:jc w:val="both"/>
        <w:rPr>
          <w:u w:val="single"/>
        </w:rPr>
      </w:pPr>
    </w:p>
    <w:p w14:paraId="271BEF1D" w14:textId="77777777" w:rsidR="006F4EDC" w:rsidRPr="006F4EDC" w:rsidRDefault="006F4EDC" w:rsidP="006F4EDC">
      <w:pPr>
        <w:ind w:firstLine="360"/>
        <w:jc w:val="both"/>
        <w:rPr>
          <w:bCs/>
          <w:i/>
          <w:iCs/>
        </w:rPr>
      </w:pPr>
      <w:r w:rsidRPr="006F4EDC">
        <w:t>*T.C. Tarım ve Orman Bakanlığı Devlet Su İşleri Genel Müdürlüğü 5.Bölge Müdürlüğü’nün 06/02/2025 tarih ve 5538036 sayılı yazısında;</w:t>
      </w:r>
    </w:p>
    <w:p w14:paraId="75B0F7F6" w14:textId="77777777" w:rsidR="006F4EDC" w:rsidRPr="006F4EDC" w:rsidRDefault="006F4EDC" w:rsidP="006F4EDC">
      <w:pPr>
        <w:ind w:firstLine="360"/>
        <w:jc w:val="both"/>
        <w:rPr>
          <w:bCs/>
          <w:i/>
          <w:iCs/>
        </w:rPr>
      </w:pPr>
    </w:p>
    <w:p w14:paraId="21257CB3" w14:textId="77777777" w:rsidR="006F4EDC" w:rsidRPr="006F4EDC" w:rsidRDefault="006F4EDC" w:rsidP="006F4EDC">
      <w:pPr>
        <w:ind w:firstLine="360"/>
        <w:jc w:val="both"/>
        <w:rPr>
          <w:bCs/>
          <w:i/>
          <w:iCs/>
        </w:rPr>
      </w:pPr>
      <w:r w:rsidRPr="006F4EDC">
        <w:rPr>
          <w:bCs/>
          <w:i/>
          <w:iCs/>
        </w:rPr>
        <w:t xml:space="preserve">1-Ekli 1/25000 ölçekli haritada yeri işaretli söz konusu alanın, DSİ projeleri kapsamında </w:t>
      </w:r>
      <w:proofErr w:type="spellStart"/>
      <w:r w:rsidRPr="006F4EDC">
        <w:rPr>
          <w:bCs/>
          <w:i/>
          <w:iCs/>
        </w:rPr>
        <w:t>yeralmadığı</w:t>
      </w:r>
      <w:proofErr w:type="spellEnd"/>
      <w:r w:rsidRPr="006F4EDC">
        <w:rPr>
          <w:bCs/>
          <w:i/>
          <w:iCs/>
        </w:rPr>
        <w:t>, içme ve kullanma suyu temin eden baraj ya da göl koruma alanında bulunmadığı,</w:t>
      </w:r>
    </w:p>
    <w:p w14:paraId="362D9AE5" w14:textId="77777777" w:rsidR="006F4EDC" w:rsidRPr="006F4EDC" w:rsidRDefault="006F4EDC" w:rsidP="006F4EDC">
      <w:pPr>
        <w:ind w:firstLine="360"/>
        <w:jc w:val="both"/>
        <w:rPr>
          <w:bCs/>
          <w:i/>
          <w:iCs/>
        </w:rPr>
      </w:pPr>
      <w:r w:rsidRPr="006F4EDC">
        <w:rPr>
          <w:bCs/>
          <w:i/>
          <w:iCs/>
        </w:rPr>
        <w:t>2-Etüt alanında mevcut ya da planlama aşamasında olan herhangi bir yeraltı suyu tesisi bulunmamaktadır. Su ihtiyacının yeraltı suyundan temin edilmek istenmesi halinde 167 Sayılı Kanun gereği Kuruluşumuzdan izin alınması ve yeraltı/yerüstü sularının kalitesinin etkilenmemesi için, atıklar konusunda Su Kirliliği Kontrol Yönetmeliği ile Katı Atık Yönetmeliği'nde belirtilen esaslara uyulması gerektiği,</w:t>
      </w:r>
    </w:p>
    <w:p w14:paraId="0E9C220E" w14:textId="77777777" w:rsidR="006F4EDC" w:rsidRPr="006F4EDC" w:rsidRDefault="006F4EDC" w:rsidP="006F4EDC">
      <w:pPr>
        <w:ind w:firstLine="360"/>
        <w:jc w:val="both"/>
        <w:rPr>
          <w:bCs/>
          <w:i/>
          <w:iCs/>
        </w:rPr>
      </w:pPr>
      <w:r w:rsidRPr="006F4EDC">
        <w:rPr>
          <w:bCs/>
          <w:i/>
          <w:iCs/>
        </w:rPr>
        <w:t xml:space="preserve">Proje alanında 167 Sayılı "Yeraltı suları Hakkında Kanun" ve 07.04.2012 tarih ve 28257 sayılı </w:t>
      </w:r>
      <w:proofErr w:type="gramStart"/>
      <w:r w:rsidRPr="006F4EDC">
        <w:rPr>
          <w:bCs/>
          <w:i/>
          <w:iCs/>
        </w:rPr>
        <w:t>Resmi</w:t>
      </w:r>
      <w:proofErr w:type="gramEnd"/>
      <w:r w:rsidRPr="006F4EDC">
        <w:rPr>
          <w:bCs/>
          <w:i/>
          <w:iCs/>
        </w:rPr>
        <w:t xml:space="preserve"> </w:t>
      </w:r>
      <w:proofErr w:type="spellStart"/>
      <w:r w:rsidRPr="006F4EDC">
        <w:rPr>
          <w:bCs/>
          <w:i/>
          <w:iCs/>
        </w:rPr>
        <w:t>Gazete'de</w:t>
      </w:r>
      <w:proofErr w:type="spellEnd"/>
      <w:r w:rsidRPr="006F4EDC">
        <w:rPr>
          <w:bCs/>
          <w:i/>
          <w:iCs/>
        </w:rPr>
        <w:t xml:space="preserve"> yayımlanan "Yeraltı Sularının Kirlenmeye ve Bozulmaya Karşı Korunması Hakkında Yönetmelik ve Su Kirliliği Kontrolü Yönetmeliği" gibi ilgili diğer yönetmelik hükümlerine göre çalışma yapılması gerekmekte olup proje kapsamında yeraltı suları ve kaynakların korunma çerçevesinde yürürlükte bulunan tüm mevzuata uyulması gerekmektedir.</w:t>
      </w:r>
    </w:p>
    <w:p w14:paraId="16D324EB" w14:textId="77777777" w:rsidR="006F4EDC" w:rsidRPr="006F4EDC" w:rsidRDefault="006F4EDC" w:rsidP="006F4EDC">
      <w:pPr>
        <w:ind w:firstLine="360"/>
        <w:jc w:val="both"/>
        <w:rPr>
          <w:bCs/>
          <w:i/>
          <w:iCs/>
          <w:color w:val="000000"/>
        </w:rPr>
      </w:pPr>
      <w:r w:rsidRPr="006F4EDC">
        <w:rPr>
          <w:bCs/>
          <w:i/>
          <w:iCs/>
          <w:color w:val="000000"/>
        </w:rPr>
        <w:t xml:space="preserve">167 sayılı kanun ve 10 Ekim 2012 tarih ve 28437 sayılı "İçme Suyu Temin Edilen </w:t>
      </w:r>
      <w:proofErr w:type="spellStart"/>
      <w:r w:rsidRPr="006F4EDC">
        <w:rPr>
          <w:bCs/>
          <w:i/>
          <w:iCs/>
          <w:color w:val="000000"/>
        </w:rPr>
        <w:t>Akifer</w:t>
      </w:r>
      <w:proofErr w:type="spellEnd"/>
      <w:r w:rsidRPr="006F4EDC">
        <w:rPr>
          <w:bCs/>
          <w:i/>
          <w:iCs/>
          <w:color w:val="000000"/>
        </w:rPr>
        <w:t xml:space="preserve"> ve Kaynakların Koruma Alanlarının Belirlenmesi Hakkında Tebliğ" hükümlerine göre koruma alanı ve işletme sahası belirlenmesi halinde hiçbir hak talep edilmeksizin DSİ'nin tüm direktiflerine uyulacaktır. Proje sahası içerisinde özel şahıslara ait belgeli kuyular ile karşılaşılması durumunda bu kuyuların tüm haklarının korunması gerekmektedir. Proje sahası içerisinde içme-kullanma suyu amaçlı kuyu, kaynak ve </w:t>
      </w:r>
      <w:proofErr w:type="spellStart"/>
      <w:r w:rsidRPr="006F4EDC">
        <w:rPr>
          <w:bCs/>
          <w:i/>
          <w:iCs/>
          <w:color w:val="000000"/>
        </w:rPr>
        <w:t>keson</w:t>
      </w:r>
      <w:proofErr w:type="spellEnd"/>
      <w:r w:rsidRPr="006F4EDC">
        <w:rPr>
          <w:bCs/>
          <w:i/>
          <w:iCs/>
          <w:color w:val="000000"/>
        </w:rPr>
        <w:t xml:space="preserve"> kuyu bulunması durumunda ilgili Belediyeden veya kurumdan görüş alınmalıdır. Ayrıca, talep edilen imar sahasında yapılacak zemin etüt çalışmaları sonucunda tespit edilen </w:t>
      </w:r>
      <w:proofErr w:type="spellStart"/>
      <w:r w:rsidRPr="006F4EDC">
        <w:rPr>
          <w:bCs/>
          <w:i/>
          <w:iCs/>
          <w:color w:val="000000"/>
        </w:rPr>
        <w:t>yeraltısuyu</w:t>
      </w:r>
      <w:proofErr w:type="spellEnd"/>
      <w:r w:rsidRPr="006F4EDC">
        <w:rPr>
          <w:bCs/>
          <w:i/>
          <w:iCs/>
          <w:color w:val="000000"/>
        </w:rPr>
        <w:t xml:space="preserve"> seviyelerine göre projeler gerekli tedbirler alınarak yapılmalıdır. Arazi hazırlama, inşaat ve işletme aşamalarında her türlü yapıdan kaynaklanacak, her türlü kirleticilerin </w:t>
      </w:r>
      <w:proofErr w:type="spellStart"/>
      <w:r w:rsidRPr="006F4EDC">
        <w:rPr>
          <w:bCs/>
          <w:i/>
          <w:iCs/>
          <w:color w:val="000000"/>
        </w:rPr>
        <w:t>yeraltısularına</w:t>
      </w:r>
      <w:proofErr w:type="spellEnd"/>
      <w:r w:rsidRPr="006F4EDC">
        <w:rPr>
          <w:bCs/>
          <w:i/>
          <w:iCs/>
          <w:color w:val="000000"/>
        </w:rPr>
        <w:t xml:space="preserve"> deşarj edilmesi önlenmeli, bu kirleticilerin mevzuata uygun biçimde </w:t>
      </w:r>
      <w:proofErr w:type="spellStart"/>
      <w:r w:rsidRPr="006F4EDC">
        <w:rPr>
          <w:bCs/>
          <w:i/>
          <w:iCs/>
          <w:color w:val="000000"/>
        </w:rPr>
        <w:t>bertarafı</w:t>
      </w:r>
      <w:proofErr w:type="spellEnd"/>
      <w:r w:rsidRPr="006F4EDC">
        <w:rPr>
          <w:bCs/>
          <w:i/>
          <w:iCs/>
          <w:color w:val="000000"/>
        </w:rPr>
        <w:t xml:space="preserve"> sağlanmalıdır. </w:t>
      </w:r>
      <w:proofErr w:type="spellStart"/>
      <w:r w:rsidRPr="006F4EDC">
        <w:rPr>
          <w:bCs/>
          <w:i/>
          <w:iCs/>
          <w:color w:val="000000"/>
        </w:rPr>
        <w:t>Foseptik</w:t>
      </w:r>
      <w:proofErr w:type="spellEnd"/>
      <w:r w:rsidRPr="006F4EDC">
        <w:rPr>
          <w:bCs/>
          <w:i/>
          <w:iCs/>
          <w:color w:val="000000"/>
        </w:rPr>
        <w:t xml:space="preserve"> ve tüm kirleticilerin depolama, bertaraf üniteleri ve benzeri birimlerde sızdırmazlık (geçirimsizlik) önlemleri alınarak yeraltı suyu kaynaklarının kirlenmesi engellenmelidir.</w:t>
      </w:r>
    </w:p>
    <w:p w14:paraId="3D3BF6D4" w14:textId="77777777" w:rsidR="006F4EDC" w:rsidRPr="006F4EDC" w:rsidRDefault="006F4EDC" w:rsidP="006F4EDC">
      <w:pPr>
        <w:ind w:firstLine="360"/>
        <w:jc w:val="both"/>
        <w:rPr>
          <w:bCs/>
          <w:i/>
          <w:iCs/>
        </w:rPr>
      </w:pPr>
      <w:r w:rsidRPr="006F4EDC">
        <w:rPr>
          <w:bCs/>
          <w:i/>
          <w:iCs/>
        </w:rPr>
        <w:t xml:space="preserve">3-Bahse konu alanın batısından </w:t>
      </w:r>
      <w:proofErr w:type="spellStart"/>
      <w:r w:rsidRPr="006F4EDC">
        <w:rPr>
          <w:bCs/>
          <w:i/>
          <w:iCs/>
        </w:rPr>
        <w:t>göletin</w:t>
      </w:r>
      <w:proofErr w:type="spellEnd"/>
      <w:r w:rsidRPr="006F4EDC">
        <w:rPr>
          <w:bCs/>
          <w:i/>
          <w:iCs/>
        </w:rPr>
        <w:t xml:space="preserve"> tahliye kanalı doğusundan ise </w:t>
      </w:r>
      <w:proofErr w:type="gramStart"/>
      <w:r w:rsidRPr="006F4EDC">
        <w:rPr>
          <w:bCs/>
          <w:i/>
          <w:iCs/>
        </w:rPr>
        <w:t>dere  yatağı</w:t>
      </w:r>
      <w:proofErr w:type="gramEnd"/>
      <w:r w:rsidRPr="006F4EDC">
        <w:rPr>
          <w:bCs/>
          <w:i/>
          <w:iCs/>
        </w:rPr>
        <w:t xml:space="preserve"> geçmektedir. Dere yatağının ve kanalın şev üstlerinden en az 20 m çekilerek koruma bandı olarak bırakılmalı, doğal hali korunmalı, koruma alanlarında iskâna izin verilmemeli, bu alanlar yeşil alan olarak bırakılmalıdır.</w:t>
      </w:r>
    </w:p>
    <w:p w14:paraId="40790A58" w14:textId="77777777" w:rsidR="006F4EDC" w:rsidRPr="006F4EDC" w:rsidRDefault="006F4EDC" w:rsidP="006F4EDC">
      <w:pPr>
        <w:ind w:firstLine="360"/>
        <w:jc w:val="both"/>
        <w:rPr>
          <w:bCs/>
          <w:i/>
          <w:iCs/>
        </w:rPr>
      </w:pPr>
      <w:r w:rsidRPr="006F4EDC">
        <w:rPr>
          <w:bCs/>
          <w:i/>
          <w:iCs/>
        </w:rPr>
        <w:t>4-Aşırı yağışlar sonucu oluşabilecek yüzey ve yamaç sularının Belediye altyapı (yağmursuyu) sistemi içerisinde bertaraf edilmesi gerekmektedir.</w:t>
      </w:r>
    </w:p>
    <w:p w14:paraId="7E8E97F3" w14:textId="77777777" w:rsidR="006F4EDC" w:rsidRPr="006F4EDC" w:rsidRDefault="006F4EDC" w:rsidP="006F4EDC">
      <w:pPr>
        <w:ind w:firstLine="360"/>
        <w:jc w:val="both"/>
        <w:rPr>
          <w:bCs/>
          <w:i/>
          <w:iCs/>
        </w:rPr>
      </w:pPr>
      <w:r w:rsidRPr="006F4EDC">
        <w:rPr>
          <w:bCs/>
          <w:i/>
          <w:iCs/>
        </w:rPr>
        <w:t xml:space="preserve">5-Ayrıca, "Taşkın ve </w:t>
      </w:r>
      <w:proofErr w:type="spellStart"/>
      <w:r w:rsidRPr="006F4EDC">
        <w:rPr>
          <w:bCs/>
          <w:i/>
          <w:iCs/>
        </w:rPr>
        <w:t>Rusubat</w:t>
      </w:r>
      <w:proofErr w:type="spellEnd"/>
      <w:r w:rsidRPr="006F4EDC">
        <w:rPr>
          <w:bCs/>
          <w:i/>
          <w:iCs/>
        </w:rPr>
        <w:t xml:space="preserve"> Kontrolü Yönetmeliği" ile "Planlı Alanlar İmar </w:t>
      </w:r>
      <w:proofErr w:type="spellStart"/>
      <w:r w:rsidRPr="006F4EDC">
        <w:rPr>
          <w:bCs/>
          <w:i/>
          <w:iCs/>
        </w:rPr>
        <w:t>Yönetmeliği"nde</w:t>
      </w:r>
      <w:proofErr w:type="spellEnd"/>
      <w:r w:rsidRPr="006F4EDC">
        <w:rPr>
          <w:bCs/>
          <w:i/>
          <w:iCs/>
        </w:rPr>
        <w:t xml:space="preserve"> belirtilen hususlara titizlikle riayet edilmelidir.</w:t>
      </w:r>
    </w:p>
    <w:p w14:paraId="3F683825" w14:textId="77777777" w:rsidR="006F4EDC" w:rsidRPr="006F4EDC" w:rsidRDefault="006F4EDC" w:rsidP="006F4EDC">
      <w:pPr>
        <w:ind w:firstLine="360"/>
        <w:jc w:val="both"/>
      </w:pPr>
      <w:r w:rsidRPr="006F4EDC">
        <w:rPr>
          <w:bCs/>
          <w:i/>
          <w:iCs/>
        </w:rPr>
        <w:t xml:space="preserve">Yukarıda belirtilen hükümlere uyulması kaydıyla, mezkur alanda plan değişikliği çalışması yapılması hususu Kuruluşumuzca uygun </w:t>
      </w:r>
      <w:proofErr w:type="gramStart"/>
      <w:r w:rsidRPr="006F4EDC">
        <w:rPr>
          <w:bCs/>
          <w:i/>
          <w:iCs/>
        </w:rPr>
        <w:t>değerlendirilmektedir.…</w:t>
      </w:r>
      <w:proofErr w:type="gramEnd"/>
      <w:r w:rsidRPr="006F4EDC">
        <w:rPr>
          <w:bCs/>
          <w:i/>
          <w:iCs/>
        </w:rPr>
        <w:t xml:space="preserve">” </w:t>
      </w:r>
      <w:proofErr w:type="gramStart"/>
      <w:r w:rsidRPr="006F4EDC">
        <w:t>denildiği</w:t>
      </w:r>
      <w:proofErr w:type="gramEnd"/>
      <w:r w:rsidRPr="006F4EDC">
        <w:t>,</w:t>
      </w:r>
    </w:p>
    <w:p w14:paraId="1C3EA874" w14:textId="77777777" w:rsidR="006F4EDC" w:rsidRPr="006F4EDC" w:rsidRDefault="006F4EDC" w:rsidP="006F4EDC">
      <w:pPr>
        <w:ind w:firstLine="360"/>
        <w:jc w:val="both"/>
      </w:pPr>
    </w:p>
    <w:p w14:paraId="2AD128C8" w14:textId="77777777" w:rsidR="006F4EDC" w:rsidRPr="006F4EDC" w:rsidRDefault="006F4EDC" w:rsidP="006F4EDC">
      <w:pPr>
        <w:ind w:firstLine="360"/>
        <w:jc w:val="both"/>
      </w:pPr>
      <w:r w:rsidRPr="006F4EDC">
        <w:t xml:space="preserve">* T.C. Tarım ve Orman Bakanlığı Devlet Su İşleri Genel Müdürlüğü 5.Bölge Müdürlüğü’nün 08/10/2025 tarih ve 6390559 sayılı yazısında </w:t>
      </w:r>
      <w:r w:rsidRPr="006F4EDC">
        <w:rPr>
          <w:i/>
        </w:rPr>
        <w:t>“…söz konusu dere yatağı ve koruma alanları sayısal halihazır haritaya işlenmiş olup, yazımız ekinde yer almaktadır…”</w:t>
      </w:r>
      <w:r w:rsidRPr="006F4EDC">
        <w:t xml:space="preserve"> şeklide belirtildiği,</w:t>
      </w:r>
    </w:p>
    <w:p w14:paraId="351654CD" w14:textId="77777777" w:rsidR="006F4EDC" w:rsidRPr="006F4EDC" w:rsidRDefault="006F4EDC" w:rsidP="006F4EDC">
      <w:pPr>
        <w:ind w:firstLine="360"/>
        <w:jc w:val="both"/>
      </w:pPr>
    </w:p>
    <w:p w14:paraId="7BD9BB50" w14:textId="77777777" w:rsidR="006F4EDC" w:rsidRDefault="006F4EDC" w:rsidP="006F4EDC">
      <w:pPr>
        <w:ind w:firstLine="360"/>
        <w:jc w:val="both"/>
      </w:pPr>
    </w:p>
    <w:p w14:paraId="34C015A3" w14:textId="2EC2A251" w:rsidR="006F4EDC" w:rsidRPr="006F4EDC" w:rsidRDefault="006F4EDC" w:rsidP="006F4EDC">
      <w:pPr>
        <w:ind w:firstLine="360"/>
        <w:jc w:val="both"/>
      </w:pPr>
      <w:r w:rsidRPr="006F4EDC">
        <w:t xml:space="preserve">*T.C. Ankara Valiliği İl Afet ve Acil Durum Müdürlüğü’nün 01/09/2025 tarih ve 1464186 sayılı yazısında </w:t>
      </w:r>
      <w:r w:rsidRPr="006F4EDC">
        <w:rPr>
          <w:bCs/>
          <w:i/>
          <w:iCs/>
        </w:rPr>
        <w:t xml:space="preserve">“…7269 sayılı kanun kapsamında, kurumumuz adına herhangi bir tahsis işlemi yer almamakta olup, ayrıca belirtilen alan ile ilgili olarak alınmış Afete Maruz Bölge Kararı bulunmamaktadır. Ancak, inceleme alanı ve çevresinde afet risklerinin de değerlendirildiği ayrıntılı jeolojik </w:t>
      </w:r>
      <w:proofErr w:type="spellStart"/>
      <w:r w:rsidRPr="006F4EDC">
        <w:rPr>
          <w:bCs/>
          <w:i/>
          <w:iCs/>
        </w:rPr>
        <w:t>jeoteknik</w:t>
      </w:r>
      <w:proofErr w:type="spellEnd"/>
      <w:r w:rsidRPr="006F4EDC">
        <w:rPr>
          <w:bCs/>
          <w:i/>
          <w:iCs/>
        </w:rPr>
        <w:t xml:space="preserve"> etütlerin yapılarak, konu ile ilgili hazırlanacak jeolojik ve </w:t>
      </w:r>
      <w:proofErr w:type="spellStart"/>
      <w:r w:rsidRPr="006F4EDC">
        <w:rPr>
          <w:bCs/>
          <w:i/>
          <w:iCs/>
        </w:rPr>
        <w:t>jeoteknik</w:t>
      </w:r>
      <w:proofErr w:type="spellEnd"/>
      <w:r w:rsidRPr="006F4EDC">
        <w:rPr>
          <w:bCs/>
          <w:i/>
          <w:iCs/>
        </w:rPr>
        <w:t xml:space="preserve"> rapor sonuçlarına göre söz konusu alanda planlamaya gidilmesi uygun olacaktır…”</w:t>
      </w:r>
      <w:r w:rsidRPr="006F4EDC">
        <w:t xml:space="preserve"> şeklinde belirtildiği,</w:t>
      </w:r>
    </w:p>
    <w:p w14:paraId="480AEDE6" w14:textId="77777777" w:rsidR="006F4EDC" w:rsidRPr="006F4EDC" w:rsidRDefault="006F4EDC" w:rsidP="006F4EDC">
      <w:pPr>
        <w:ind w:firstLine="360"/>
        <w:jc w:val="both"/>
      </w:pPr>
    </w:p>
    <w:p w14:paraId="665568AB" w14:textId="77777777" w:rsidR="006F4EDC" w:rsidRPr="006F4EDC" w:rsidRDefault="006F4EDC" w:rsidP="006F4EDC">
      <w:pPr>
        <w:ind w:firstLine="360"/>
        <w:jc w:val="both"/>
      </w:pPr>
      <w:r w:rsidRPr="006F4EDC">
        <w:t xml:space="preserve">*Başkent Doğalgaz Gayrimenkul Yatırım Ortaklığı A.Ş. </w:t>
      </w:r>
      <w:proofErr w:type="spellStart"/>
      <w:r w:rsidRPr="006F4EDC">
        <w:t>Etüd</w:t>
      </w:r>
      <w:proofErr w:type="spellEnd"/>
      <w:r w:rsidRPr="006F4EDC">
        <w:t xml:space="preserve"> Proje Müdürlüğü’nün 20/01/2025 tarih ve 12229 sayılı yazısında </w:t>
      </w:r>
      <w:r w:rsidRPr="006F4EDC">
        <w:rPr>
          <w:bCs/>
          <w:i/>
          <w:iCs/>
        </w:rPr>
        <w:t>“…Söz konusu parselde herhangi bir doğal gaz hattı bulunmamaktadır…”</w:t>
      </w:r>
      <w:r w:rsidRPr="006F4EDC">
        <w:t xml:space="preserve"> şeklinde belirtildiği,</w:t>
      </w:r>
    </w:p>
    <w:p w14:paraId="759D5956" w14:textId="77777777" w:rsidR="006F4EDC" w:rsidRPr="006F4EDC" w:rsidRDefault="006F4EDC" w:rsidP="006F4EDC">
      <w:pPr>
        <w:ind w:firstLine="360"/>
        <w:jc w:val="both"/>
      </w:pPr>
    </w:p>
    <w:p w14:paraId="307923B1" w14:textId="77777777" w:rsidR="006F4EDC" w:rsidRPr="006F4EDC" w:rsidRDefault="006F4EDC" w:rsidP="006F4EDC">
      <w:pPr>
        <w:ind w:firstLine="360"/>
        <w:jc w:val="both"/>
      </w:pPr>
      <w:r w:rsidRPr="006F4EDC">
        <w:t xml:space="preserve">*T.C. Ankara Büyükşehir Belediyesi ASKİ Genel Müdürlüğü Planlama Koordinasyon ve Dış İlişkiler Dairesi Başkanlığı Planlama Şube Müdürlüğü’nün 28/01/2025 tarih ve 763465 sayılı yazısında </w:t>
      </w:r>
      <w:r w:rsidRPr="006F4EDC">
        <w:rPr>
          <w:bCs/>
          <w:i/>
          <w:iCs/>
        </w:rPr>
        <w:t>“…Söz konusu alanda mevcut hatlarımız bulunmakta olup, sayısalları yazımız ekinde gönderilmektedir. Diğer taraftan,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 korunması..."</w:t>
      </w:r>
      <w:r w:rsidRPr="006F4EDC">
        <w:t xml:space="preserve"> denilmektedir.</w:t>
      </w:r>
    </w:p>
    <w:p w14:paraId="325B030F" w14:textId="77777777" w:rsidR="006F4EDC" w:rsidRPr="006F4EDC" w:rsidRDefault="006F4EDC" w:rsidP="006F4EDC">
      <w:pPr>
        <w:ind w:firstLine="360"/>
        <w:jc w:val="both"/>
      </w:pPr>
    </w:p>
    <w:p w14:paraId="68913468" w14:textId="77777777" w:rsidR="006F4EDC" w:rsidRPr="006F4EDC" w:rsidRDefault="006F4EDC" w:rsidP="006F4EDC">
      <w:pPr>
        <w:ind w:firstLine="360"/>
        <w:jc w:val="both"/>
      </w:pPr>
      <w:r w:rsidRPr="006F4EDC">
        <w:t>*Başkent Elektrik Dağıtım A.Ş.’</w:t>
      </w:r>
      <w:proofErr w:type="spellStart"/>
      <w:r w:rsidRPr="006F4EDC">
        <w:t>nin</w:t>
      </w:r>
      <w:proofErr w:type="spellEnd"/>
      <w:r w:rsidRPr="006F4EDC">
        <w:t xml:space="preserve"> 23/01/2025 tarih ve 655392 sayılı yazısında </w:t>
      </w:r>
      <w:r w:rsidRPr="006F4EDC">
        <w:rPr>
          <w:bCs/>
          <w:i/>
        </w:rPr>
        <w:t>“…Halihazırda mevcut bulunan tesislerimizin ölçülerek imar planı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Elektrik Kuvvetli Akım Tesisleri Yönetmeliği’nde belirtilen yatay ve düşey emniyet mesafelerine riayet edilmesi gerekmektedir.”</w:t>
      </w:r>
      <w:r w:rsidRPr="006F4EDC">
        <w:rPr>
          <w:bCs/>
        </w:rPr>
        <w:t xml:space="preserve"> </w:t>
      </w:r>
      <w:r w:rsidRPr="006F4EDC">
        <w:t xml:space="preserve">denilmektedir. </w:t>
      </w:r>
    </w:p>
    <w:p w14:paraId="25947172" w14:textId="77777777" w:rsidR="006F4EDC" w:rsidRPr="006F4EDC" w:rsidRDefault="006F4EDC" w:rsidP="006F4EDC">
      <w:pPr>
        <w:ind w:firstLine="360"/>
        <w:jc w:val="both"/>
      </w:pPr>
    </w:p>
    <w:p w14:paraId="4AD0D8F6" w14:textId="77777777" w:rsidR="006F4EDC" w:rsidRPr="006F4EDC" w:rsidRDefault="006F4EDC" w:rsidP="006F4EDC">
      <w:pPr>
        <w:ind w:firstLine="360"/>
        <w:jc w:val="both"/>
      </w:pPr>
      <w:r w:rsidRPr="006F4EDC">
        <w:rPr>
          <w:b/>
          <w:color w:val="000000"/>
        </w:rPr>
        <w:t xml:space="preserve">Ankara Valiliği Çevre, Şehircilik ve İklim Değişikliği İl Müdürlüğü tarafından, 18.11.2025 tarihinde </w:t>
      </w:r>
      <w:r w:rsidRPr="006F4EDC">
        <w:rPr>
          <w:color w:val="000000"/>
        </w:rPr>
        <w:t xml:space="preserve">imar planına esas jeolojik ve </w:t>
      </w:r>
      <w:proofErr w:type="spellStart"/>
      <w:r w:rsidRPr="006F4EDC">
        <w:rPr>
          <w:color w:val="000000"/>
        </w:rPr>
        <w:t>jeoteknik</w:t>
      </w:r>
      <w:proofErr w:type="spellEnd"/>
      <w:r w:rsidRPr="006F4EDC">
        <w:rPr>
          <w:color w:val="000000"/>
        </w:rPr>
        <w:t xml:space="preserve"> etüt raporunun onaya sunulduğu, </w:t>
      </w:r>
    </w:p>
    <w:p w14:paraId="49203833" w14:textId="77777777" w:rsidR="006F4EDC" w:rsidRPr="006F4EDC" w:rsidRDefault="006F4EDC" w:rsidP="006F4EDC">
      <w:pPr>
        <w:jc w:val="both"/>
        <w:rPr>
          <w:u w:val="single"/>
        </w:rPr>
      </w:pPr>
    </w:p>
    <w:p w14:paraId="7418C667" w14:textId="77777777" w:rsidR="006F4EDC" w:rsidRPr="006F4EDC" w:rsidRDefault="006F4EDC" w:rsidP="006F4EDC">
      <w:pPr>
        <w:ind w:firstLine="360"/>
        <w:jc w:val="both"/>
        <w:rPr>
          <w:u w:val="single"/>
        </w:rPr>
      </w:pPr>
      <w:r w:rsidRPr="006F4EDC">
        <w:rPr>
          <w:u w:val="single"/>
        </w:rPr>
        <w:t>Hazırlanan 1/1000 Ölçekli Uygulama İmar Planı Değişikliği ile;</w:t>
      </w:r>
    </w:p>
    <w:p w14:paraId="7580615D" w14:textId="77777777" w:rsidR="006F4EDC" w:rsidRPr="006F4EDC" w:rsidRDefault="006F4EDC" w:rsidP="006F4EDC">
      <w:pPr>
        <w:jc w:val="both"/>
        <w:rPr>
          <w:color w:val="FF0000"/>
          <w:u w:val="single"/>
        </w:rPr>
      </w:pPr>
    </w:p>
    <w:p w14:paraId="5924280A" w14:textId="77777777" w:rsidR="006F4EDC" w:rsidRPr="006F4EDC" w:rsidRDefault="006F4EDC" w:rsidP="006F4EDC">
      <w:pPr>
        <w:spacing w:line="276" w:lineRule="auto"/>
        <w:ind w:left="720"/>
        <w:contextualSpacing/>
        <w:jc w:val="both"/>
        <w:rPr>
          <w:rFonts w:eastAsia="Calibri"/>
          <w:lang w:eastAsia="en-US"/>
        </w:rPr>
      </w:pPr>
      <w:r w:rsidRPr="006F4EDC">
        <w:rPr>
          <w:rFonts w:eastAsia="Calibri"/>
          <w:lang w:eastAsia="en-US"/>
        </w:rPr>
        <w:t>- Ankara ili, Sincan ilçesi Temelli İstiklal Mahallesi 101528 Ada 1 Parselde 45.301 m²’lik kısmı plan değişikliğine konu edildiği,</w:t>
      </w:r>
    </w:p>
    <w:p w14:paraId="5B210031" w14:textId="77777777" w:rsidR="006F4EDC" w:rsidRPr="006F4EDC" w:rsidRDefault="006F4EDC" w:rsidP="006F4EDC">
      <w:pPr>
        <w:spacing w:line="276" w:lineRule="auto"/>
        <w:ind w:left="720"/>
        <w:contextualSpacing/>
        <w:jc w:val="both"/>
        <w:rPr>
          <w:rFonts w:eastAsia="Calibri"/>
          <w:lang w:eastAsia="en-US"/>
        </w:rPr>
      </w:pPr>
      <w:r w:rsidRPr="006F4EDC">
        <w:rPr>
          <w:rFonts w:eastAsia="Calibri"/>
          <w:lang w:eastAsia="en-US"/>
        </w:rPr>
        <w:t xml:space="preserve">-45.301 m² büyüklüğündeki alan E:0.50, Yençok:5 Kat yapılaşma koşullarına </w:t>
      </w:r>
      <w:proofErr w:type="spellStart"/>
      <w:proofErr w:type="gramStart"/>
      <w:r w:rsidRPr="006F4EDC">
        <w:rPr>
          <w:rFonts w:eastAsia="Calibri"/>
          <w:lang w:eastAsia="en-US"/>
        </w:rPr>
        <w:t>sahip“</w:t>
      </w:r>
      <w:proofErr w:type="gramEnd"/>
      <w:r w:rsidRPr="006F4EDC">
        <w:rPr>
          <w:rFonts w:eastAsia="Calibri"/>
          <w:lang w:eastAsia="en-US"/>
        </w:rPr>
        <w:t>Sağlık</w:t>
      </w:r>
      <w:proofErr w:type="spellEnd"/>
      <w:r w:rsidRPr="006F4EDC">
        <w:rPr>
          <w:rFonts w:eastAsia="Calibri"/>
          <w:lang w:eastAsia="en-US"/>
        </w:rPr>
        <w:t xml:space="preserve"> Tesisi Alanı” olarak ayrıldığı,</w:t>
      </w:r>
    </w:p>
    <w:p w14:paraId="1C113B9C" w14:textId="77777777" w:rsidR="006F4EDC" w:rsidRPr="006F4EDC" w:rsidRDefault="006F4EDC" w:rsidP="006F4EDC">
      <w:pPr>
        <w:spacing w:line="276" w:lineRule="auto"/>
        <w:ind w:left="720"/>
        <w:contextualSpacing/>
        <w:jc w:val="both"/>
        <w:rPr>
          <w:rFonts w:eastAsia="Calibri"/>
          <w:lang w:eastAsia="en-US"/>
        </w:rPr>
      </w:pPr>
      <w:r w:rsidRPr="006F4EDC">
        <w:rPr>
          <w:rFonts w:eastAsia="Calibri"/>
          <w:lang w:eastAsia="en-US"/>
        </w:rPr>
        <w:t>-Yapı yaklaşma mesafelerinin ASKİ Genel Müdürlüğü'nün 28/01/2025 tarih ve 763465 sayılı görüşü ile mevcutta bulunan ağaç dokusunun korunması doğrultusunda belirlenmiş olduğu, diğer cephelerden 5 metre olduğu,</w:t>
      </w:r>
    </w:p>
    <w:p w14:paraId="5C28810C" w14:textId="77777777" w:rsidR="006F4EDC" w:rsidRPr="006F4EDC" w:rsidRDefault="006F4EDC" w:rsidP="006F4EDC">
      <w:pPr>
        <w:spacing w:line="276" w:lineRule="auto"/>
        <w:ind w:left="720"/>
        <w:contextualSpacing/>
        <w:jc w:val="both"/>
        <w:rPr>
          <w:rFonts w:eastAsia="Calibri"/>
          <w:lang w:eastAsia="en-US"/>
        </w:rPr>
      </w:pPr>
      <w:r w:rsidRPr="006F4EDC">
        <w:rPr>
          <w:rFonts w:eastAsia="Calibri"/>
          <w:lang w:eastAsia="en-US"/>
        </w:rPr>
        <w:t>-1/1000 ölçekli uygulama imar planında; Başkent Elektrik Dağıtım A.Ş. ve Ankara Büyükşehir Belediyesi ASKİ Genel Müdürlüğü’nün görüşlerinde yer alan hatların, yapı yaklaşma mesafeleri içerisinde bırakılacağı,</w:t>
      </w:r>
    </w:p>
    <w:p w14:paraId="18EB9E1A" w14:textId="6AF3ED9C" w:rsidR="006F4EDC" w:rsidRDefault="006F4EDC" w:rsidP="006F4EDC">
      <w:pPr>
        <w:spacing w:line="276" w:lineRule="auto"/>
        <w:ind w:left="720"/>
        <w:contextualSpacing/>
        <w:jc w:val="both"/>
        <w:rPr>
          <w:rFonts w:eastAsia="Calibri"/>
          <w:lang w:eastAsia="en-US"/>
        </w:rPr>
      </w:pPr>
      <w:r w:rsidRPr="006F4EDC">
        <w:rPr>
          <w:rFonts w:eastAsia="Calibri"/>
          <w:lang w:eastAsia="en-US"/>
        </w:rPr>
        <w:t>-Alan kullanım tablosunun aşağıdaki gibi olduğu;</w:t>
      </w:r>
    </w:p>
    <w:p w14:paraId="2AEF7C20" w14:textId="4079943E" w:rsidR="006F4EDC" w:rsidRDefault="006F4EDC" w:rsidP="006F4EDC">
      <w:pPr>
        <w:spacing w:line="276" w:lineRule="auto"/>
        <w:ind w:left="720"/>
        <w:contextualSpacing/>
        <w:jc w:val="both"/>
        <w:rPr>
          <w:rFonts w:eastAsia="Calibri"/>
          <w:lang w:eastAsia="en-US"/>
        </w:rPr>
      </w:pPr>
    </w:p>
    <w:p w14:paraId="1338E658" w14:textId="77777777" w:rsidR="006F4EDC" w:rsidRPr="006F4EDC" w:rsidRDefault="006F4EDC" w:rsidP="006F4EDC">
      <w:pPr>
        <w:spacing w:line="276" w:lineRule="auto"/>
        <w:ind w:left="720"/>
        <w:contextualSpacing/>
        <w:jc w:val="both"/>
        <w:rPr>
          <w:rFonts w:eastAsia="Calibri"/>
          <w:lang w:eastAsia="en-US"/>
        </w:rPr>
      </w:pPr>
    </w:p>
    <w:p w14:paraId="221CFEC6" w14:textId="77777777" w:rsidR="006F4EDC" w:rsidRPr="006F4EDC" w:rsidRDefault="006F4EDC" w:rsidP="006F4EDC">
      <w:pPr>
        <w:spacing w:line="276" w:lineRule="auto"/>
        <w:contextualSpacing/>
        <w:jc w:val="both"/>
        <w:rPr>
          <w:rFonts w:eastAsia="Calibri"/>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69"/>
        <w:gridCol w:w="1683"/>
        <w:gridCol w:w="1505"/>
      </w:tblGrid>
      <w:tr w:rsidR="006F4EDC" w:rsidRPr="006F4EDC" w14:paraId="5D0A7F6B" w14:textId="77777777" w:rsidTr="00E8707E">
        <w:trPr>
          <w:trHeight w:val="344"/>
        </w:trPr>
        <w:tc>
          <w:tcPr>
            <w:tcW w:w="3600" w:type="dxa"/>
          </w:tcPr>
          <w:p w14:paraId="4D66B5AA"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ALAN KULLANIMI</w:t>
            </w:r>
          </w:p>
        </w:tc>
        <w:tc>
          <w:tcPr>
            <w:tcW w:w="1969" w:type="dxa"/>
          </w:tcPr>
          <w:p w14:paraId="78541C63"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MEVCUT (M²)</w:t>
            </w:r>
          </w:p>
        </w:tc>
        <w:tc>
          <w:tcPr>
            <w:tcW w:w="1683" w:type="dxa"/>
          </w:tcPr>
          <w:p w14:paraId="4DD1F5CE"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ÖNERİ (M²)</w:t>
            </w:r>
          </w:p>
        </w:tc>
        <w:tc>
          <w:tcPr>
            <w:tcW w:w="1505" w:type="dxa"/>
          </w:tcPr>
          <w:p w14:paraId="0ACFB2C9" w14:textId="77777777" w:rsidR="006F4EDC" w:rsidRPr="006F4EDC" w:rsidRDefault="006F4EDC" w:rsidP="00E8707E">
            <w:pPr>
              <w:spacing w:line="276" w:lineRule="auto"/>
              <w:contextualSpacing/>
              <w:jc w:val="both"/>
              <w:rPr>
                <w:rFonts w:eastAsia="Calibri"/>
                <w:b/>
                <w:lang w:eastAsia="en-US"/>
              </w:rPr>
            </w:pPr>
            <w:proofErr w:type="gramStart"/>
            <w:r w:rsidRPr="006F4EDC">
              <w:rPr>
                <w:rFonts w:eastAsia="Calibri"/>
                <w:b/>
                <w:lang w:eastAsia="en-US"/>
              </w:rPr>
              <w:t>YÜZDE(</w:t>
            </w:r>
            <w:proofErr w:type="gramEnd"/>
            <w:r w:rsidRPr="006F4EDC">
              <w:rPr>
                <w:rFonts w:eastAsia="Calibri"/>
                <w:b/>
                <w:lang w:eastAsia="en-US"/>
              </w:rPr>
              <w:t>%)</w:t>
            </w:r>
          </w:p>
        </w:tc>
      </w:tr>
      <w:tr w:rsidR="006F4EDC" w:rsidRPr="006F4EDC" w14:paraId="1864ABEF" w14:textId="77777777" w:rsidTr="00E8707E">
        <w:trPr>
          <w:trHeight w:val="459"/>
        </w:trPr>
        <w:tc>
          <w:tcPr>
            <w:tcW w:w="3600" w:type="dxa"/>
          </w:tcPr>
          <w:p w14:paraId="76C700C3"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Temelli Uluslararası Göl Alanı</w:t>
            </w:r>
          </w:p>
        </w:tc>
        <w:tc>
          <w:tcPr>
            <w:tcW w:w="1969" w:type="dxa"/>
          </w:tcPr>
          <w:p w14:paraId="4B753153"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45.301</w:t>
            </w:r>
          </w:p>
        </w:tc>
        <w:tc>
          <w:tcPr>
            <w:tcW w:w="1683" w:type="dxa"/>
          </w:tcPr>
          <w:p w14:paraId="69F219FC"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w:t>
            </w:r>
          </w:p>
        </w:tc>
        <w:tc>
          <w:tcPr>
            <w:tcW w:w="1505" w:type="dxa"/>
          </w:tcPr>
          <w:p w14:paraId="07DBDAC7"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w:t>
            </w:r>
          </w:p>
        </w:tc>
      </w:tr>
      <w:tr w:rsidR="006F4EDC" w:rsidRPr="006F4EDC" w14:paraId="2757772B" w14:textId="77777777" w:rsidTr="00E8707E">
        <w:trPr>
          <w:trHeight w:val="459"/>
        </w:trPr>
        <w:tc>
          <w:tcPr>
            <w:tcW w:w="3600" w:type="dxa"/>
          </w:tcPr>
          <w:p w14:paraId="6924A6AB"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Sağlık Tesisi Alanı</w:t>
            </w:r>
          </w:p>
        </w:tc>
        <w:tc>
          <w:tcPr>
            <w:tcW w:w="1969" w:type="dxa"/>
          </w:tcPr>
          <w:p w14:paraId="3E1AECD3"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w:t>
            </w:r>
          </w:p>
        </w:tc>
        <w:tc>
          <w:tcPr>
            <w:tcW w:w="1683" w:type="dxa"/>
          </w:tcPr>
          <w:p w14:paraId="29FC3A6A"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 xml:space="preserve">45.301 </w:t>
            </w:r>
          </w:p>
        </w:tc>
        <w:tc>
          <w:tcPr>
            <w:tcW w:w="1505" w:type="dxa"/>
          </w:tcPr>
          <w:p w14:paraId="4C59AD3A"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100</w:t>
            </w:r>
          </w:p>
        </w:tc>
      </w:tr>
      <w:tr w:rsidR="006F4EDC" w:rsidRPr="006F4EDC" w14:paraId="36A9BAAB" w14:textId="77777777" w:rsidTr="00E8707E">
        <w:trPr>
          <w:trHeight w:val="459"/>
        </w:trPr>
        <w:tc>
          <w:tcPr>
            <w:tcW w:w="3600" w:type="dxa"/>
          </w:tcPr>
          <w:p w14:paraId="61837214" w14:textId="77777777" w:rsidR="006F4EDC" w:rsidRPr="006F4EDC" w:rsidRDefault="006F4EDC" w:rsidP="00E8707E">
            <w:pPr>
              <w:spacing w:line="276" w:lineRule="auto"/>
              <w:contextualSpacing/>
              <w:jc w:val="both"/>
              <w:rPr>
                <w:rFonts w:eastAsia="Calibri"/>
                <w:b/>
                <w:lang w:eastAsia="en-US"/>
              </w:rPr>
            </w:pPr>
            <w:r w:rsidRPr="006F4EDC">
              <w:rPr>
                <w:rFonts w:eastAsia="Calibri"/>
                <w:b/>
                <w:lang w:eastAsia="en-US"/>
              </w:rPr>
              <w:t>Toplam</w:t>
            </w:r>
          </w:p>
        </w:tc>
        <w:tc>
          <w:tcPr>
            <w:tcW w:w="1969" w:type="dxa"/>
          </w:tcPr>
          <w:p w14:paraId="0ABC51B8"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45.301</w:t>
            </w:r>
          </w:p>
        </w:tc>
        <w:tc>
          <w:tcPr>
            <w:tcW w:w="1683" w:type="dxa"/>
          </w:tcPr>
          <w:p w14:paraId="7597BB42"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45.301</w:t>
            </w:r>
          </w:p>
        </w:tc>
        <w:tc>
          <w:tcPr>
            <w:tcW w:w="1505" w:type="dxa"/>
          </w:tcPr>
          <w:p w14:paraId="58F7D4C0" w14:textId="77777777" w:rsidR="006F4EDC" w:rsidRPr="006F4EDC" w:rsidRDefault="006F4EDC" w:rsidP="00E8707E">
            <w:pPr>
              <w:spacing w:line="276" w:lineRule="auto"/>
              <w:ind w:left="720"/>
              <w:contextualSpacing/>
              <w:jc w:val="both"/>
              <w:rPr>
                <w:rFonts w:eastAsia="Calibri"/>
                <w:lang w:eastAsia="en-US"/>
              </w:rPr>
            </w:pPr>
            <w:r w:rsidRPr="006F4EDC">
              <w:rPr>
                <w:rFonts w:eastAsia="Calibri"/>
                <w:lang w:eastAsia="en-US"/>
              </w:rPr>
              <w:t>100</w:t>
            </w:r>
          </w:p>
        </w:tc>
      </w:tr>
    </w:tbl>
    <w:p w14:paraId="286B01B2" w14:textId="77777777" w:rsidR="006F4EDC" w:rsidRPr="006F4EDC" w:rsidRDefault="006F4EDC" w:rsidP="006F4EDC">
      <w:pPr>
        <w:spacing w:line="276" w:lineRule="auto"/>
        <w:contextualSpacing/>
        <w:jc w:val="both"/>
        <w:rPr>
          <w:b/>
          <w:bCs/>
          <w:color w:val="FF0000"/>
        </w:rPr>
      </w:pPr>
    </w:p>
    <w:p w14:paraId="2C2CDFC2" w14:textId="77777777" w:rsidR="006F4EDC" w:rsidRPr="006F4EDC" w:rsidRDefault="006F4EDC" w:rsidP="006F4EDC">
      <w:pPr>
        <w:jc w:val="both"/>
        <w:rPr>
          <w:rFonts w:eastAsia="Calibri"/>
          <w:b/>
          <w:color w:val="FF0000"/>
          <w:lang w:eastAsia="en-US"/>
        </w:rPr>
      </w:pPr>
      <w:r w:rsidRPr="006F4EDC">
        <w:t>“</w:t>
      </w:r>
      <w:r w:rsidRPr="006F4EDC">
        <w:rPr>
          <w:b/>
          <w:kern w:val="22"/>
          <w:lang w:eastAsia="ja-JP"/>
        </w:rPr>
        <w:t>Temelli İstiklal Mahallesi 101528 Ada 1 Parsele İlişkin 1/1000 Ölçekli Uygulama İmar Planı Değişikliği”</w:t>
      </w:r>
      <w:r w:rsidRPr="006F4EDC">
        <w:rPr>
          <w:bCs/>
        </w:rPr>
        <w:t xml:space="preserve"> </w:t>
      </w:r>
      <w:r w:rsidRPr="006F4EDC">
        <w:rPr>
          <w:b/>
        </w:rPr>
        <w:t>Plan Notlarının aşağıdaki gibi olduğu,</w:t>
      </w:r>
    </w:p>
    <w:p w14:paraId="5090E400" w14:textId="77777777" w:rsidR="006F4EDC" w:rsidRPr="006F4EDC" w:rsidRDefault="006F4EDC" w:rsidP="006F4EDC">
      <w:pPr>
        <w:numPr>
          <w:ilvl w:val="0"/>
          <w:numId w:val="36"/>
        </w:numPr>
        <w:tabs>
          <w:tab w:val="decimal" w:pos="720"/>
        </w:tabs>
        <w:autoSpaceDE w:val="0"/>
        <w:autoSpaceDN w:val="0"/>
        <w:adjustRightInd w:val="0"/>
        <w:spacing w:before="216"/>
        <w:ind w:right="-2"/>
        <w:contextualSpacing/>
        <w:jc w:val="both"/>
        <w:rPr>
          <w:color w:val="000000"/>
        </w:rPr>
      </w:pPr>
      <w:r w:rsidRPr="006F4EDC">
        <w:rPr>
          <w:color w:val="000000"/>
        </w:rPr>
        <w:t xml:space="preserve">Sağlık tesisi alanında yapılaşma koşulları; Emsal=0.50 </w:t>
      </w:r>
      <w:proofErr w:type="spellStart"/>
      <w:r w:rsidRPr="006F4EDC">
        <w:rPr>
          <w:color w:val="000000"/>
        </w:rPr>
        <w:t>Yençok</w:t>
      </w:r>
      <w:proofErr w:type="spellEnd"/>
      <w:r w:rsidRPr="006F4EDC">
        <w:rPr>
          <w:color w:val="000000"/>
        </w:rPr>
        <w:t xml:space="preserve">=5 </w:t>
      </w:r>
      <w:proofErr w:type="spellStart"/>
      <w:r w:rsidRPr="006F4EDC">
        <w:rPr>
          <w:color w:val="000000"/>
        </w:rPr>
        <w:t>kat’tır</w:t>
      </w:r>
      <w:proofErr w:type="spellEnd"/>
      <w:r w:rsidRPr="006F4EDC">
        <w:rPr>
          <w:color w:val="000000"/>
        </w:rPr>
        <w:t xml:space="preserve">. Yapı yaklaşma mesafeleri </w:t>
      </w:r>
      <w:proofErr w:type="spellStart"/>
      <w:r w:rsidRPr="006F4EDC">
        <w:rPr>
          <w:color w:val="000000"/>
        </w:rPr>
        <w:t>Aski</w:t>
      </w:r>
      <w:proofErr w:type="spellEnd"/>
      <w:r w:rsidRPr="006F4EDC">
        <w:rPr>
          <w:color w:val="000000"/>
        </w:rPr>
        <w:t xml:space="preserve"> Genel Müdürlüğü'nün 28/01/2025 tarih ve 763465 sayılı görüşü doğrultusunda belirlenmiş olup, diğer cephelerden 5 metredir. Sağlık Tesis Alanında rehabilitasyon merkezi ve bu merkeze hizmet edecek; misafirhane, kütüphane, idari tesisler, sosyal tesisler dışında herhangi bir tesis veya fonksiyon yer alamaz.</w:t>
      </w:r>
    </w:p>
    <w:p w14:paraId="6187BBA0" w14:textId="77777777" w:rsidR="006F4EDC" w:rsidRPr="006F4EDC" w:rsidRDefault="006F4EDC" w:rsidP="006F4EDC">
      <w:pPr>
        <w:tabs>
          <w:tab w:val="decimal" w:pos="720"/>
        </w:tabs>
        <w:autoSpaceDE w:val="0"/>
        <w:autoSpaceDN w:val="0"/>
        <w:adjustRightInd w:val="0"/>
        <w:spacing w:before="216"/>
        <w:ind w:right="-2"/>
        <w:contextualSpacing/>
        <w:jc w:val="both"/>
        <w:rPr>
          <w:color w:val="000000"/>
        </w:rPr>
      </w:pPr>
    </w:p>
    <w:p w14:paraId="2F35CAFC"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rPr>
          <w:color w:val="000000"/>
        </w:rPr>
      </w:pPr>
      <w:r w:rsidRPr="006F4EDC">
        <w:rPr>
          <w:color w:val="000000"/>
        </w:rPr>
        <w:t>T.C. Tarım ve Orman Bakanlığı Devlet Su İşleri Genel Müdürlüğü 5. Bölge Müdürlüğü'nün 06/02/2025 tarih E.5538036 sayılı ve 08/10/2025 tarih E.6390559 sayılı yazılarında belirtilen hususlara uyulacaktır.</w:t>
      </w:r>
    </w:p>
    <w:p w14:paraId="3DB8E191" w14:textId="77777777" w:rsidR="006F4EDC" w:rsidRPr="006F4EDC" w:rsidRDefault="006F4EDC" w:rsidP="006F4EDC">
      <w:pPr>
        <w:tabs>
          <w:tab w:val="decimal" w:pos="720"/>
        </w:tabs>
        <w:autoSpaceDE w:val="0"/>
        <w:autoSpaceDN w:val="0"/>
        <w:adjustRightInd w:val="0"/>
        <w:spacing w:before="180"/>
        <w:ind w:left="720" w:right="-2"/>
        <w:contextualSpacing/>
        <w:jc w:val="both"/>
        <w:rPr>
          <w:color w:val="000000"/>
        </w:rPr>
      </w:pPr>
      <w:r w:rsidRPr="006F4EDC">
        <w:rPr>
          <w:color w:val="000000"/>
        </w:rPr>
        <w:t xml:space="preserve">Su Kirliliği Kontrol Yönetmeliği, Katı Atık Yönetmeliği, Yeraltı Suları Hakkında Kanun, Yeraltı Sularının Kirlenmeye ve Bozulmaya Karşı Korunması Hakkında Yönetmelik ve Su Kirliliği Kontrol Yönetmeliği, İçme Suyu Temin Edilen </w:t>
      </w:r>
      <w:proofErr w:type="spellStart"/>
      <w:r w:rsidRPr="006F4EDC">
        <w:rPr>
          <w:color w:val="000000"/>
        </w:rPr>
        <w:t>Akifer</w:t>
      </w:r>
      <w:proofErr w:type="spellEnd"/>
      <w:r w:rsidRPr="006F4EDC">
        <w:rPr>
          <w:color w:val="000000"/>
        </w:rPr>
        <w:t xml:space="preserve"> ve Kaynakların Koruma Alanlarının Belirlenmesi Hakkında Tebliğ Hükümlerine, Taşkın ve </w:t>
      </w:r>
      <w:proofErr w:type="spellStart"/>
      <w:r w:rsidRPr="006F4EDC">
        <w:rPr>
          <w:color w:val="000000"/>
        </w:rPr>
        <w:t>Rusubat</w:t>
      </w:r>
      <w:proofErr w:type="spellEnd"/>
      <w:r w:rsidRPr="006F4EDC">
        <w:rPr>
          <w:color w:val="000000"/>
        </w:rPr>
        <w:t xml:space="preserve"> Kontrolü Yönetmeliği ile Planlı Alanlar İmar Yönetmeliği'ne uyulacaktır.</w:t>
      </w:r>
    </w:p>
    <w:p w14:paraId="78B23E1B" w14:textId="77777777" w:rsidR="006F4EDC" w:rsidRPr="006F4EDC" w:rsidRDefault="006F4EDC" w:rsidP="006F4EDC">
      <w:pPr>
        <w:tabs>
          <w:tab w:val="decimal" w:pos="720"/>
        </w:tabs>
        <w:autoSpaceDE w:val="0"/>
        <w:autoSpaceDN w:val="0"/>
        <w:adjustRightInd w:val="0"/>
        <w:spacing w:before="180"/>
        <w:ind w:right="-2"/>
        <w:contextualSpacing/>
        <w:jc w:val="both"/>
        <w:rPr>
          <w:color w:val="000000"/>
        </w:rPr>
      </w:pPr>
    </w:p>
    <w:p w14:paraId="6905881E"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pPr>
      <w:r w:rsidRPr="006F4EDC">
        <w:rPr>
          <w:color w:val="000000"/>
        </w:rPr>
        <w:t xml:space="preserve">T.C. Ankara Büyükşehir Belediyesi </w:t>
      </w:r>
      <w:proofErr w:type="spellStart"/>
      <w:r w:rsidRPr="006F4EDC">
        <w:rPr>
          <w:color w:val="000000"/>
        </w:rPr>
        <w:t>Aski</w:t>
      </w:r>
      <w:proofErr w:type="spellEnd"/>
      <w:r w:rsidRPr="006F4EDC">
        <w:rPr>
          <w:color w:val="000000"/>
        </w:rPr>
        <w:t xml:space="preserve"> Genel Müdürlüğü Planlama Koordinasyon ve Dış İlişkiler Dairesi Başkanlığı Planlama Şube Müdürlüğü’nün 28/01/2025 tarih ve 763465 sayılı yazısında </w:t>
      </w:r>
      <w:proofErr w:type="spellStart"/>
      <w:r w:rsidRPr="006F4EDC">
        <w:rPr>
          <w:color w:val="000000"/>
        </w:rPr>
        <w:t>beliritilen</w:t>
      </w:r>
      <w:proofErr w:type="spellEnd"/>
      <w:r w:rsidRPr="006F4EDC">
        <w:rPr>
          <w:color w:val="000000"/>
        </w:rPr>
        <w:t xml:space="preserve"> </w:t>
      </w:r>
      <w:proofErr w:type="spellStart"/>
      <w:r w:rsidRPr="006F4EDC">
        <w:rPr>
          <w:color w:val="000000"/>
        </w:rPr>
        <w:t>husulara</w:t>
      </w:r>
      <w:proofErr w:type="spellEnd"/>
      <w:r w:rsidRPr="006F4EDC">
        <w:rPr>
          <w:color w:val="000000"/>
        </w:rPr>
        <w:t xml:space="preserve"> uyulacaktır.</w:t>
      </w:r>
    </w:p>
    <w:p w14:paraId="1443DFE9" w14:textId="77777777" w:rsidR="006F4EDC" w:rsidRPr="006F4EDC" w:rsidRDefault="006F4EDC" w:rsidP="006F4EDC">
      <w:pPr>
        <w:tabs>
          <w:tab w:val="decimal" w:pos="720"/>
        </w:tabs>
        <w:autoSpaceDE w:val="0"/>
        <w:autoSpaceDN w:val="0"/>
        <w:adjustRightInd w:val="0"/>
        <w:spacing w:before="180"/>
        <w:ind w:left="720" w:right="-2"/>
        <w:contextualSpacing/>
        <w:jc w:val="both"/>
      </w:pPr>
    </w:p>
    <w:p w14:paraId="0AF1AE89"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pPr>
      <w:r w:rsidRPr="006F4EDC">
        <w:rPr>
          <w:color w:val="000000"/>
        </w:rPr>
        <w:t>Başkent Elektrik Dağıtım A.Ş.’</w:t>
      </w:r>
      <w:proofErr w:type="spellStart"/>
      <w:r w:rsidRPr="006F4EDC">
        <w:rPr>
          <w:color w:val="000000"/>
        </w:rPr>
        <w:t>nin</w:t>
      </w:r>
      <w:proofErr w:type="spellEnd"/>
      <w:r w:rsidRPr="006F4EDC">
        <w:rPr>
          <w:color w:val="000000"/>
        </w:rPr>
        <w:t xml:space="preserve"> 23/01/2025 tarih ve 655392 sayılı yazısında belirtilen hususlara uyulacaktır. Elektrik Kuvvetli Akım Tesisleri Yönetmeliği’nde belirtilen yatay ve düşey emniyet mesafelerine riayet edilecektir.</w:t>
      </w:r>
    </w:p>
    <w:p w14:paraId="74C17CC8" w14:textId="77777777" w:rsidR="006F4EDC" w:rsidRPr="006F4EDC" w:rsidRDefault="006F4EDC" w:rsidP="006F4EDC">
      <w:pPr>
        <w:tabs>
          <w:tab w:val="decimal" w:pos="720"/>
        </w:tabs>
        <w:autoSpaceDE w:val="0"/>
        <w:autoSpaceDN w:val="0"/>
        <w:adjustRightInd w:val="0"/>
        <w:spacing w:before="180"/>
        <w:ind w:left="720" w:right="-2"/>
        <w:contextualSpacing/>
        <w:jc w:val="both"/>
      </w:pPr>
    </w:p>
    <w:p w14:paraId="3DDCFBA5"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pPr>
      <w:r w:rsidRPr="006F4EDC">
        <w:rPr>
          <w:color w:val="000000"/>
        </w:rPr>
        <w:t xml:space="preserve">Başkent Doğalgaz Gayrimenkul Yatırım Ortaklığı A.Ş. </w:t>
      </w:r>
      <w:proofErr w:type="spellStart"/>
      <w:r w:rsidRPr="006F4EDC">
        <w:rPr>
          <w:color w:val="000000"/>
        </w:rPr>
        <w:t>Etüd</w:t>
      </w:r>
      <w:proofErr w:type="spellEnd"/>
      <w:r w:rsidRPr="006F4EDC">
        <w:rPr>
          <w:color w:val="000000"/>
        </w:rPr>
        <w:t xml:space="preserve"> Proje Müdürlüğü’nün 20/01/2025 tarih ve 12229 sayılı yazısında belirtilen hususlara uyulacaktır.</w:t>
      </w:r>
    </w:p>
    <w:p w14:paraId="61AEAD80" w14:textId="77777777" w:rsidR="006F4EDC" w:rsidRPr="006F4EDC" w:rsidRDefault="006F4EDC" w:rsidP="006F4EDC">
      <w:pPr>
        <w:tabs>
          <w:tab w:val="decimal" w:pos="720"/>
        </w:tabs>
        <w:autoSpaceDE w:val="0"/>
        <w:autoSpaceDN w:val="0"/>
        <w:adjustRightInd w:val="0"/>
        <w:spacing w:before="180"/>
        <w:ind w:left="720" w:right="-2"/>
        <w:contextualSpacing/>
        <w:jc w:val="both"/>
      </w:pPr>
    </w:p>
    <w:p w14:paraId="0542E90F"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rPr>
          <w:color w:val="000000"/>
        </w:rPr>
      </w:pPr>
      <w:r w:rsidRPr="006F4EDC">
        <w:rPr>
          <w:color w:val="000000"/>
        </w:rPr>
        <w:t>T.C. Ankara Valiliği İl Afet ve Acil Durum Müdürlüğü’nün 01/09/2025 tarih ve 1464186 sayılı yazısında belirtilen hususlara uyulacaktır.</w:t>
      </w:r>
    </w:p>
    <w:p w14:paraId="72F3AAF4" w14:textId="77777777" w:rsidR="006F4EDC" w:rsidRPr="006F4EDC" w:rsidRDefault="006F4EDC" w:rsidP="006F4EDC">
      <w:pPr>
        <w:tabs>
          <w:tab w:val="decimal" w:pos="720"/>
        </w:tabs>
        <w:autoSpaceDE w:val="0"/>
        <w:autoSpaceDN w:val="0"/>
        <w:adjustRightInd w:val="0"/>
        <w:spacing w:before="180"/>
        <w:ind w:left="720" w:right="-2"/>
        <w:contextualSpacing/>
        <w:jc w:val="both"/>
        <w:rPr>
          <w:color w:val="000000"/>
        </w:rPr>
      </w:pPr>
    </w:p>
    <w:p w14:paraId="08F24FED" w14:textId="77777777" w:rsidR="006F4EDC" w:rsidRPr="006F4EDC" w:rsidRDefault="006F4EDC" w:rsidP="006F4EDC">
      <w:pPr>
        <w:numPr>
          <w:ilvl w:val="0"/>
          <w:numId w:val="36"/>
        </w:numPr>
        <w:tabs>
          <w:tab w:val="decimal" w:pos="720"/>
        </w:tabs>
        <w:autoSpaceDE w:val="0"/>
        <w:autoSpaceDN w:val="0"/>
        <w:adjustRightInd w:val="0"/>
        <w:spacing w:before="180"/>
        <w:ind w:right="-2"/>
        <w:contextualSpacing/>
        <w:jc w:val="both"/>
        <w:rPr>
          <w:color w:val="000000"/>
        </w:rPr>
      </w:pPr>
      <w:r w:rsidRPr="006F4EDC">
        <w:rPr>
          <w:color w:val="000000"/>
        </w:rPr>
        <w:t>Ankara Valiliği Çevre, Şehircilik ve İklim Değişikliği İl Müdürlüğü tarafından 18/11/2025 tarihinde onaylanan Jeolojik-</w:t>
      </w:r>
      <w:proofErr w:type="spellStart"/>
      <w:r w:rsidRPr="006F4EDC">
        <w:rPr>
          <w:color w:val="000000"/>
        </w:rPr>
        <w:t>Jeoteknik</w:t>
      </w:r>
      <w:proofErr w:type="spellEnd"/>
      <w:r w:rsidRPr="006F4EDC">
        <w:rPr>
          <w:color w:val="000000"/>
        </w:rPr>
        <w:t xml:space="preserve"> Etüt Raporu sonuç ve öneriler kısmında belirtilen hususlara uyulacaktır.</w:t>
      </w:r>
    </w:p>
    <w:p w14:paraId="52F0DF2F" w14:textId="5D1F307F" w:rsidR="006F4EDC" w:rsidRDefault="006F4EDC" w:rsidP="006F4EDC">
      <w:pPr>
        <w:autoSpaceDE w:val="0"/>
        <w:autoSpaceDN w:val="0"/>
        <w:adjustRightInd w:val="0"/>
        <w:ind w:right="-2"/>
        <w:jc w:val="both"/>
        <w:rPr>
          <w:color w:val="000000"/>
        </w:rPr>
      </w:pPr>
    </w:p>
    <w:p w14:paraId="10946F0D" w14:textId="29750351" w:rsidR="006F4EDC" w:rsidRDefault="006F4EDC" w:rsidP="006F4EDC">
      <w:pPr>
        <w:autoSpaceDE w:val="0"/>
        <w:autoSpaceDN w:val="0"/>
        <w:adjustRightInd w:val="0"/>
        <w:ind w:right="-2"/>
        <w:jc w:val="both"/>
        <w:rPr>
          <w:color w:val="000000"/>
        </w:rPr>
      </w:pPr>
    </w:p>
    <w:p w14:paraId="090CF9BE" w14:textId="51D5B428" w:rsidR="006F4EDC" w:rsidRDefault="006F4EDC" w:rsidP="006F4EDC">
      <w:pPr>
        <w:autoSpaceDE w:val="0"/>
        <w:autoSpaceDN w:val="0"/>
        <w:adjustRightInd w:val="0"/>
        <w:ind w:right="-2"/>
        <w:jc w:val="both"/>
        <w:rPr>
          <w:color w:val="000000"/>
        </w:rPr>
      </w:pPr>
    </w:p>
    <w:p w14:paraId="0E6D3CF9" w14:textId="0FC8D927" w:rsidR="006F4EDC" w:rsidRDefault="006F4EDC" w:rsidP="006F4EDC">
      <w:pPr>
        <w:autoSpaceDE w:val="0"/>
        <w:autoSpaceDN w:val="0"/>
        <w:adjustRightInd w:val="0"/>
        <w:ind w:right="-2"/>
        <w:jc w:val="both"/>
        <w:rPr>
          <w:color w:val="000000"/>
        </w:rPr>
      </w:pPr>
    </w:p>
    <w:p w14:paraId="273F6597" w14:textId="46292314" w:rsidR="006F4EDC" w:rsidRDefault="006F4EDC" w:rsidP="006F4EDC">
      <w:pPr>
        <w:autoSpaceDE w:val="0"/>
        <w:autoSpaceDN w:val="0"/>
        <w:adjustRightInd w:val="0"/>
        <w:ind w:right="-2"/>
        <w:jc w:val="both"/>
        <w:rPr>
          <w:color w:val="000000"/>
        </w:rPr>
      </w:pPr>
    </w:p>
    <w:p w14:paraId="33338C36" w14:textId="77777777" w:rsidR="006F4EDC" w:rsidRPr="006F4EDC" w:rsidRDefault="006F4EDC" w:rsidP="006F4EDC">
      <w:pPr>
        <w:autoSpaceDE w:val="0"/>
        <w:autoSpaceDN w:val="0"/>
        <w:adjustRightInd w:val="0"/>
        <w:ind w:right="-2"/>
        <w:jc w:val="both"/>
        <w:rPr>
          <w:color w:val="000000"/>
        </w:rPr>
      </w:pPr>
    </w:p>
    <w:p w14:paraId="7DAEEEBA" w14:textId="77777777" w:rsidR="006F4EDC" w:rsidRPr="006F4EDC" w:rsidRDefault="006F4EDC" w:rsidP="006F4EDC">
      <w:pPr>
        <w:numPr>
          <w:ilvl w:val="0"/>
          <w:numId w:val="36"/>
        </w:numPr>
        <w:autoSpaceDE w:val="0"/>
        <w:autoSpaceDN w:val="0"/>
        <w:adjustRightInd w:val="0"/>
        <w:ind w:right="-2"/>
        <w:contextualSpacing/>
        <w:jc w:val="both"/>
        <w:rPr>
          <w:color w:val="000000"/>
        </w:rPr>
      </w:pPr>
      <w:r w:rsidRPr="006F4EDC">
        <w:rPr>
          <w:color w:val="000000"/>
        </w:rPr>
        <w:t>Bu planda belirtilmeyen hususlarda meri imar planı hükümleri, 3194 Sayılı İmar Kanunu ve İlgili Yönetmelik Hükümleri geçerlidir.</w:t>
      </w:r>
    </w:p>
    <w:p w14:paraId="7670B6BC" w14:textId="77777777" w:rsidR="006F4EDC" w:rsidRPr="006F4EDC" w:rsidRDefault="006F4EDC" w:rsidP="006F4EDC">
      <w:pPr>
        <w:autoSpaceDE w:val="0"/>
        <w:autoSpaceDN w:val="0"/>
        <w:adjustRightInd w:val="0"/>
        <w:ind w:left="720" w:right="-2"/>
        <w:contextualSpacing/>
        <w:jc w:val="both"/>
        <w:rPr>
          <w:color w:val="000000"/>
        </w:rPr>
      </w:pPr>
    </w:p>
    <w:p w14:paraId="71FE09B9" w14:textId="77777777" w:rsidR="006F4EDC" w:rsidRPr="006F4EDC" w:rsidRDefault="006F4EDC" w:rsidP="006F4EDC">
      <w:pPr>
        <w:autoSpaceDE w:val="0"/>
        <w:autoSpaceDN w:val="0"/>
        <w:adjustRightInd w:val="0"/>
        <w:ind w:left="720" w:right="-2"/>
        <w:contextualSpacing/>
        <w:jc w:val="both"/>
        <w:rPr>
          <w:color w:val="000000"/>
        </w:rPr>
      </w:pPr>
      <w:r w:rsidRPr="006F4EDC">
        <w:rPr>
          <w:color w:val="000000"/>
        </w:rPr>
        <w:t>Şeklinde 8 adet plan notu önerildiği,</w:t>
      </w:r>
    </w:p>
    <w:p w14:paraId="39C7F57E" w14:textId="77777777" w:rsidR="006F4EDC" w:rsidRPr="006F4EDC" w:rsidRDefault="006F4EDC" w:rsidP="006F4EDC">
      <w:pPr>
        <w:autoSpaceDE w:val="0"/>
        <w:autoSpaceDN w:val="0"/>
        <w:adjustRightInd w:val="0"/>
        <w:ind w:left="720" w:right="-2"/>
        <w:contextualSpacing/>
        <w:jc w:val="both"/>
        <w:rPr>
          <w:color w:val="000000"/>
        </w:rPr>
      </w:pPr>
    </w:p>
    <w:p w14:paraId="60C0E0A6" w14:textId="77777777" w:rsidR="006F4EDC" w:rsidRDefault="006F4EDC" w:rsidP="006F4EDC">
      <w:pPr>
        <w:pStyle w:val="ListeParagraf"/>
        <w:numPr>
          <w:ilvl w:val="0"/>
          <w:numId w:val="24"/>
        </w:numPr>
        <w:spacing w:after="160" w:line="259" w:lineRule="auto"/>
        <w:contextualSpacing/>
        <w:jc w:val="both"/>
      </w:pPr>
      <w:r w:rsidRPr="006F4EDC">
        <w:t>Plan değişikliği işleminin fonksiyon değişikliği içeriyor olması nedeniyle tavsiye niteliğinde 1/5000 Ölçekli Nazım İmar Planı Değişikliği hazırlandığı,</w:t>
      </w:r>
    </w:p>
    <w:p w14:paraId="0FEA9B54" w14:textId="77777777" w:rsidR="006F4EDC" w:rsidRDefault="006F4EDC" w:rsidP="006F4EDC">
      <w:pPr>
        <w:pStyle w:val="ListeParagraf"/>
        <w:spacing w:after="160" w:line="259" w:lineRule="auto"/>
        <w:ind w:left="360"/>
        <w:contextualSpacing/>
        <w:jc w:val="both"/>
      </w:pPr>
    </w:p>
    <w:p w14:paraId="754A9953" w14:textId="09075027" w:rsidR="006F4EDC" w:rsidRPr="006F4EDC" w:rsidRDefault="006F4EDC" w:rsidP="006F4EDC">
      <w:pPr>
        <w:pStyle w:val="ListeParagraf"/>
        <w:spacing w:after="160" w:line="259" w:lineRule="auto"/>
        <w:ind w:left="360" w:firstLine="348"/>
        <w:contextualSpacing/>
        <w:jc w:val="both"/>
      </w:pPr>
      <w:r>
        <w:t>H</w:t>
      </w:r>
      <w:r w:rsidRPr="006F4EDC">
        <w:t>ususları neticesinde “</w:t>
      </w:r>
      <w:r w:rsidRPr="006F4EDC">
        <w:rPr>
          <w:b/>
        </w:rPr>
        <w:t>Sincan İlçesi</w:t>
      </w:r>
      <w:r w:rsidRPr="006F4EDC">
        <w:t xml:space="preserve"> </w:t>
      </w:r>
      <w:r w:rsidRPr="006F4EDC">
        <w:rPr>
          <w:b/>
          <w:kern w:val="22"/>
          <w:lang w:eastAsia="ja-JP"/>
        </w:rPr>
        <w:t xml:space="preserve">İstiklal Mahallesi 101528 Ada 1 Parsele İlişkin hazırlanan 1/1000 Ölçekli Uygulama İmar Planı </w:t>
      </w:r>
      <w:proofErr w:type="spellStart"/>
      <w:r w:rsidRPr="006F4EDC">
        <w:rPr>
          <w:b/>
          <w:kern w:val="22"/>
          <w:lang w:eastAsia="ja-JP"/>
        </w:rPr>
        <w:t>Değişikliği</w:t>
      </w:r>
      <w:r w:rsidRPr="006F4EDC">
        <w:rPr>
          <w:bCs/>
        </w:rPr>
        <w:t>’nin</w:t>
      </w:r>
      <w:proofErr w:type="spellEnd"/>
      <w:r w:rsidRPr="006F4EDC">
        <w:rPr>
          <w:bCs/>
        </w:rPr>
        <w:t xml:space="preserve"> onaylanması</w:t>
      </w:r>
      <w:r w:rsidR="0093637F">
        <w:rPr>
          <w:bCs/>
        </w:rPr>
        <w:t xml:space="preserve"> </w:t>
      </w:r>
      <w:r w:rsidR="0093637F" w:rsidRPr="0093637F">
        <w:rPr>
          <w:b/>
          <w:bCs/>
        </w:rPr>
        <w:t>oy çokluğuyla</w:t>
      </w:r>
      <w:r w:rsidRPr="006F4EDC">
        <w:rPr>
          <w:bCs/>
        </w:rPr>
        <w:t xml:space="preserve"> komisyonumuzca uygun görülmüştür.</w:t>
      </w:r>
    </w:p>
    <w:p w14:paraId="6A15CA21" w14:textId="2E9A5B95" w:rsidR="00A30CB5" w:rsidRPr="006F4EDC" w:rsidRDefault="009E113D" w:rsidP="006F4EDC">
      <w:pPr>
        <w:ind w:firstLine="708"/>
        <w:contextualSpacing/>
        <w:jc w:val="both"/>
      </w:pPr>
      <w:r w:rsidRPr="006F4EDC">
        <w:t>Meclisimizin görüşlerine arz ederiz.</w:t>
      </w:r>
      <w:r w:rsidR="00920B12" w:rsidRPr="006F4EDC">
        <w:rPr>
          <w:bCs/>
        </w:rPr>
        <w:t>)</w:t>
      </w:r>
      <w:r w:rsidR="00895C6A" w:rsidRPr="006F4EDC">
        <w:t xml:space="preserve">  O</w:t>
      </w:r>
      <w:r w:rsidR="00485CF3" w:rsidRPr="006F4EDC">
        <w:t>kundu.</w:t>
      </w:r>
    </w:p>
    <w:p w14:paraId="4BECBC51" w14:textId="32A436DE" w:rsidR="00051385" w:rsidRPr="006F4EDC" w:rsidRDefault="00051385" w:rsidP="00051385">
      <w:pPr>
        <w:ind w:firstLine="708"/>
        <w:jc w:val="both"/>
      </w:pPr>
      <w:r w:rsidRPr="00E40E78">
        <w:t xml:space="preserve">Konu üzerindeki görüşmelerden sonra, </w:t>
      </w:r>
      <w:r w:rsidR="008171D3">
        <w:t xml:space="preserve">komisyon raporu oylamaya sunuldu, yapılan işaretle oylama sonucunda, </w:t>
      </w:r>
      <w:r w:rsidR="00E40E78" w:rsidRPr="00E40E78">
        <w:t xml:space="preserve">İstiklal Mahallesi 101528 Ada 1 Parselin bir kısmının Sağlık Tesis Alanı kullanımına dönüştürülmesine yönelik hazırlanan 1/1000 Ölçekli Uygulama İmar Planı Değişikliği ile </w:t>
      </w:r>
      <w:r w:rsidR="00E40E78" w:rsidRPr="00E40E78">
        <w:rPr>
          <w:rFonts w:eastAsia="Calibri"/>
          <w:bCs/>
          <w:lang w:eastAsia="en-US"/>
        </w:rPr>
        <w:t xml:space="preserve">ilgili </w:t>
      </w:r>
      <w:r w:rsidR="00E40E78" w:rsidRPr="00E40E78">
        <w:rPr>
          <w:rFonts w:eastAsia="Calibri"/>
          <w:lang w:eastAsia="en-US"/>
        </w:rPr>
        <w:t xml:space="preserve">İmar ve Bayındırlık Komisyonun </w:t>
      </w:r>
      <w:r w:rsidRPr="00E40E78">
        <w:t xml:space="preserve">kabulüne oy </w:t>
      </w:r>
      <w:r w:rsidR="0093637F" w:rsidRPr="00E40E78">
        <w:t>çokluğuyla</w:t>
      </w:r>
      <w:r w:rsidRPr="00E40E78">
        <w:t xml:space="preserve"> 0</w:t>
      </w:r>
      <w:r w:rsidR="006F4EDC" w:rsidRPr="00E40E78">
        <w:t>7</w:t>
      </w:r>
      <w:r w:rsidRPr="00E40E78">
        <w:t>.04.202</w:t>
      </w:r>
      <w:r w:rsidR="000A17AC" w:rsidRPr="00E40E78">
        <w:t>6</w:t>
      </w:r>
      <w:r w:rsidRPr="00E40E78">
        <w:t xml:space="preserve"> tarihli toplantıda karar verildi.</w:t>
      </w:r>
    </w:p>
    <w:p w14:paraId="62F34851" w14:textId="43C0864B" w:rsidR="00422533" w:rsidRPr="006F4EDC" w:rsidRDefault="00422533" w:rsidP="00000375">
      <w:pPr>
        <w:ind w:firstLine="708"/>
        <w:jc w:val="both"/>
      </w:pPr>
    </w:p>
    <w:p w14:paraId="3EFA1477" w14:textId="5242FDD1" w:rsidR="00030AB6" w:rsidRPr="006F4EDC" w:rsidRDefault="00BF39AA" w:rsidP="001A55AE">
      <w:pPr>
        <w:tabs>
          <w:tab w:val="left" w:pos="3720"/>
        </w:tabs>
      </w:pPr>
      <w:r w:rsidRPr="006F4EDC">
        <w:t xml:space="preserve">     </w:t>
      </w:r>
      <w:r w:rsidR="00030AB6" w:rsidRPr="006F4EDC">
        <w:t xml:space="preserve">  </w:t>
      </w:r>
      <w:r w:rsidR="00D2740C" w:rsidRPr="006F4EDC">
        <w:tab/>
      </w:r>
      <w:r w:rsidR="00030AB6" w:rsidRPr="006F4EDC">
        <w:tab/>
      </w:r>
    </w:p>
    <w:p w14:paraId="537823F0" w14:textId="77777777" w:rsidR="00051385" w:rsidRPr="006F4EDC" w:rsidRDefault="00051385" w:rsidP="00051385">
      <w:pPr>
        <w:jc w:val="both"/>
        <w:rPr>
          <w:color w:val="000000"/>
        </w:rPr>
      </w:pPr>
    </w:p>
    <w:p w14:paraId="4162595F" w14:textId="43079D4E" w:rsidR="00865578" w:rsidRPr="006F4EDC" w:rsidRDefault="00865578" w:rsidP="00051385">
      <w:pPr>
        <w:tabs>
          <w:tab w:val="left" w:pos="8175"/>
        </w:tabs>
        <w:ind w:firstLine="709"/>
      </w:pPr>
    </w:p>
    <w:p w14:paraId="162AA17D" w14:textId="77777777" w:rsidR="00051385" w:rsidRPr="006F4EDC" w:rsidRDefault="00051385" w:rsidP="00051385">
      <w:pPr>
        <w:tabs>
          <w:tab w:val="left" w:pos="8175"/>
        </w:tabs>
        <w:ind w:firstLine="709"/>
      </w:pPr>
    </w:p>
    <w:p w14:paraId="453C8C53" w14:textId="68634004" w:rsidR="00610E39" w:rsidRDefault="00610E39" w:rsidP="00610E39">
      <w:r>
        <w:t xml:space="preserve">  Murat ERCAN                                  Kaan Yusuf YURTERİ                       Fatma Nur AYDOĞAN                   </w:t>
      </w:r>
    </w:p>
    <w:p w14:paraId="3EE02697" w14:textId="77777777" w:rsidR="00610E39" w:rsidRDefault="00610E39" w:rsidP="00610E39">
      <w:r>
        <w:t xml:space="preserve">  Meclis Başkanı                                             </w:t>
      </w:r>
      <w:proofErr w:type="gramStart"/>
      <w:r>
        <w:t>Katip</w:t>
      </w:r>
      <w:proofErr w:type="gramEnd"/>
      <w:r>
        <w:tab/>
      </w:r>
      <w:r>
        <w:tab/>
        <w:t xml:space="preserve">                                        Katip</w:t>
      </w:r>
    </w:p>
    <w:p w14:paraId="41929431" w14:textId="4C2BDA36" w:rsidR="00D972D5" w:rsidRPr="006F4EDC" w:rsidRDefault="00D972D5" w:rsidP="001A55AE"/>
    <w:sectPr w:rsidR="00D972D5" w:rsidRPr="006F4EDC">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DD9C7" w14:textId="77777777" w:rsidR="00AC4E08" w:rsidRDefault="00AC4E08">
      <w:r>
        <w:separator/>
      </w:r>
    </w:p>
  </w:endnote>
  <w:endnote w:type="continuationSeparator" w:id="0">
    <w:p w14:paraId="4A5D70D4" w14:textId="77777777" w:rsidR="00AC4E08" w:rsidRDefault="00A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27A" w14:textId="77777777" w:rsidR="00996147" w:rsidRDefault="009961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49327"/>
      <w:docPartObj>
        <w:docPartGallery w:val="Page Numbers (Bottom of Page)"/>
        <w:docPartUnique/>
      </w:docPartObj>
    </w:sdtPr>
    <w:sdtEndPr/>
    <w:sdtContent>
      <w:p w14:paraId="0C861117" w14:textId="7C1195FD" w:rsidR="007E4E8D" w:rsidRDefault="007E4E8D">
        <w:pPr>
          <w:pStyle w:val="AltBilgi"/>
          <w:jc w:val="center"/>
        </w:pPr>
        <w:r>
          <w:fldChar w:fldCharType="begin"/>
        </w:r>
        <w:r>
          <w:instrText>PAGE   \* MERGEFORMAT</w:instrText>
        </w:r>
        <w:r>
          <w:fldChar w:fldCharType="separate"/>
        </w:r>
        <w:r>
          <w:t>2</w:t>
        </w:r>
        <w:r>
          <w:fldChar w:fldCharType="end"/>
        </w:r>
        <w:r>
          <w:t>/</w:t>
        </w:r>
        <w:r w:rsidR="006F4EDC">
          <w:t>5</w:t>
        </w:r>
      </w:p>
      <w:p w14:paraId="18CA104E" w14:textId="18B5ABA1" w:rsidR="007E4E8D" w:rsidRDefault="00996147">
        <w:pPr>
          <w:pStyle w:val="AltBilgi"/>
          <w:jc w:val="center"/>
        </w:pPr>
      </w:p>
    </w:sdtContent>
  </w:sdt>
  <w:p w14:paraId="6222B734" w14:textId="77777777" w:rsidR="00BC5910" w:rsidRDefault="00BC5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DB00" w14:textId="77777777" w:rsidR="00996147" w:rsidRDefault="009961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460C" w14:textId="77777777" w:rsidR="00AC4E08" w:rsidRDefault="00AC4E08">
      <w:r>
        <w:separator/>
      </w:r>
    </w:p>
  </w:footnote>
  <w:footnote w:type="continuationSeparator" w:id="0">
    <w:p w14:paraId="17D5CDDC" w14:textId="77777777" w:rsidR="00AC4E08" w:rsidRDefault="00AC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1183" w14:textId="77777777" w:rsidR="00996147" w:rsidRDefault="009961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2910B101" w:rsidR="001928DE" w:rsidRDefault="00D10A5B">
    <w:pPr>
      <w:jc w:val="both"/>
    </w:pPr>
    <w:r>
      <w:rPr>
        <w:b/>
      </w:rPr>
      <w:t>KARAR:</w:t>
    </w:r>
    <w:r w:rsidR="00C06786">
      <w:rPr>
        <w:b/>
      </w:rPr>
      <w:t xml:space="preserve"> </w:t>
    </w:r>
    <w:r w:rsidR="006F4EDC">
      <w:rPr>
        <w:b/>
      </w:rPr>
      <w:t>7</w:t>
    </w:r>
    <w:r w:rsidR="00996147">
      <w:rPr>
        <w:b/>
      </w:rPr>
      <w:t>3</w:t>
    </w:r>
    <w:bookmarkStart w:id="1" w:name="_GoBack"/>
    <w:bookmarkEnd w:id="1"/>
    <w:r w:rsidR="00C06786">
      <w:rPr>
        <w:b/>
      </w:rPr>
      <w:t xml:space="preserve">                                                                                        </w:t>
    </w:r>
    <w:r w:rsidR="00C06786">
      <w:rPr>
        <w:b/>
      </w:rPr>
      <w:tab/>
      <w:t xml:space="preserve">               </w:t>
    </w:r>
    <w:r w:rsidR="00C06786">
      <w:rPr>
        <w:b/>
      </w:rPr>
      <w:tab/>
    </w:r>
    <w:r w:rsidR="007D27C9">
      <w:rPr>
        <w:b/>
      </w:rPr>
      <w:t>0</w:t>
    </w:r>
    <w:r w:rsidR="006F4EDC">
      <w:rPr>
        <w:b/>
      </w:rPr>
      <w:t>7</w:t>
    </w:r>
    <w:r w:rsidR="00030AB6">
      <w:rPr>
        <w:b/>
      </w:rPr>
      <w:t>.</w:t>
    </w:r>
    <w:r w:rsidR="00BE7C94">
      <w:rPr>
        <w:b/>
      </w:rPr>
      <w:t>0</w:t>
    </w:r>
    <w:r w:rsidR="00D12476">
      <w:rPr>
        <w:b/>
      </w:rPr>
      <w:t>4</w:t>
    </w:r>
    <w:r w:rsidR="00C06786">
      <w:rPr>
        <w:b/>
      </w:rPr>
      <w:t>.20</w:t>
    </w:r>
    <w:r w:rsidR="009D346A">
      <w:rPr>
        <w:b/>
      </w:rPr>
      <w:t>2</w:t>
    </w:r>
    <w:r w:rsidR="00BE7C94">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9888" w14:textId="77777777" w:rsidR="00996147" w:rsidRDefault="009961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D1B4D"/>
    <w:multiLevelType w:val="hybridMultilevel"/>
    <w:tmpl w:val="FFFFFFFF"/>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6"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475"/>
    <w:multiLevelType w:val="hybridMultilevel"/>
    <w:tmpl w:val="263C0E06"/>
    <w:lvl w:ilvl="0" w:tplc="377619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C537C0"/>
    <w:multiLevelType w:val="multilevel"/>
    <w:tmpl w:val="94B684EA"/>
    <w:lvl w:ilvl="0">
      <w:start w:val="1"/>
      <w:numFmt w:val="lowerLetter"/>
      <w:lvlText w:val="%1)"/>
      <w:lvlJc w:val="left"/>
      <w:pPr>
        <w:ind w:left="785"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1930F7"/>
    <w:multiLevelType w:val="hybridMultilevel"/>
    <w:tmpl w:val="FFFFFFFF"/>
    <w:lvl w:ilvl="0" w:tplc="041F0017">
      <w:start w:val="1"/>
      <w:numFmt w:val="lowerLetter"/>
      <w:lvlText w:val="%1)"/>
      <w:lvlJc w:val="left"/>
      <w:pPr>
        <w:ind w:left="785"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4" w15:restartNumberingAfterBreak="0">
    <w:nsid w:val="365177D2"/>
    <w:multiLevelType w:val="hybridMultilevel"/>
    <w:tmpl w:val="A0DCB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7" w15:restartNumberingAfterBreak="0">
    <w:nsid w:val="40567268"/>
    <w:multiLevelType w:val="multilevel"/>
    <w:tmpl w:val="71DA41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1"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9826744"/>
    <w:multiLevelType w:val="multilevel"/>
    <w:tmpl w:val="98FC9D94"/>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B294AF2"/>
    <w:multiLevelType w:val="hybridMultilevel"/>
    <w:tmpl w:val="D25E0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BB1BF4"/>
    <w:multiLevelType w:val="hybridMultilevel"/>
    <w:tmpl w:val="C87E2490"/>
    <w:lvl w:ilvl="0" w:tplc="3D74D62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74C35168"/>
    <w:multiLevelType w:val="hybridMultilevel"/>
    <w:tmpl w:val="01FA40B8"/>
    <w:lvl w:ilvl="0" w:tplc="E92CECF4">
      <w:start w:val="1"/>
      <w:numFmt w:val="decimal"/>
      <w:lvlText w:val="%1."/>
      <w:lvlJc w:val="left"/>
      <w:pPr>
        <w:ind w:left="720" w:hanging="360"/>
      </w:pPr>
      <w:rPr>
        <w:color w:val="000000"/>
        <w:sz w:val="22"/>
        <w:szCs w:val="22"/>
      </w:rPr>
    </w:lvl>
    <w:lvl w:ilvl="1" w:tplc="E92CECF4">
      <w:start w:val="1"/>
      <w:numFmt w:val="decimal"/>
      <w:lvlText w:val="%2."/>
      <w:lvlJc w:val="left"/>
      <w:pPr>
        <w:ind w:left="1440" w:hanging="360"/>
      </w:pPr>
      <w:rPr>
        <w:color w:val="000000"/>
        <w:sz w:val="22"/>
        <w:szCs w:val="22"/>
      </w:rPr>
    </w:lvl>
    <w:lvl w:ilvl="2" w:tplc="E92CECF4">
      <w:start w:val="1"/>
      <w:numFmt w:val="decimal"/>
      <w:lvlText w:val="%3."/>
      <w:lvlJc w:val="left"/>
      <w:pPr>
        <w:ind w:left="2160" w:hanging="360"/>
      </w:pPr>
      <w:rPr>
        <w:color w:val="000000"/>
        <w:sz w:val="22"/>
        <w:szCs w:val="22"/>
      </w:rPr>
    </w:lvl>
    <w:lvl w:ilvl="3" w:tplc="E92CECF4">
      <w:start w:val="1"/>
      <w:numFmt w:val="decimal"/>
      <w:lvlText w:val="%4."/>
      <w:lvlJc w:val="left"/>
      <w:pPr>
        <w:ind w:left="2880" w:hanging="360"/>
      </w:pPr>
      <w:rPr>
        <w:color w:val="000000"/>
        <w:sz w:val="22"/>
        <w:szCs w:val="22"/>
      </w:rPr>
    </w:lvl>
    <w:lvl w:ilvl="4" w:tplc="E92CECF4">
      <w:start w:val="1"/>
      <w:numFmt w:val="decimal"/>
      <w:lvlText w:val="%5."/>
      <w:lvlJc w:val="left"/>
      <w:pPr>
        <w:ind w:left="3600" w:hanging="360"/>
      </w:pPr>
      <w:rPr>
        <w:color w:val="000000"/>
        <w:sz w:val="22"/>
        <w:szCs w:val="22"/>
      </w:rPr>
    </w:lvl>
    <w:lvl w:ilvl="5" w:tplc="E92CECF4">
      <w:start w:val="1"/>
      <w:numFmt w:val="decimal"/>
      <w:lvlText w:val="%6."/>
      <w:lvlJc w:val="left"/>
      <w:pPr>
        <w:ind w:left="4320" w:hanging="360"/>
      </w:pPr>
      <w:rPr>
        <w:color w:val="000000"/>
        <w:sz w:val="22"/>
        <w:szCs w:val="22"/>
      </w:rPr>
    </w:lvl>
    <w:lvl w:ilvl="6" w:tplc="E92CECF4">
      <w:start w:val="1"/>
      <w:numFmt w:val="decimal"/>
      <w:lvlText w:val="%7."/>
      <w:lvlJc w:val="left"/>
      <w:pPr>
        <w:ind w:left="5040" w:hanging="360"/>
      </w:pPr>
      <w:rPr>
        <w:color w:val="000000"/>
        <w:sz w:val="22"/>
        <w:szCs w:val="22"/>
      </w:rPr>
    </w:lvl>
    <w:lvl w:ilvl="7" w:tplc="E92CECF4">
      <w:start w:val="1"/>
      <w:numFmt w:val="decimal"/>
      <w:lvlText w:val="%8."/>
      <w:lvlJc w:val="left"/>
      <w:pPr>
        <w:ind w:left="5760" w:hanging="360"/>
      </w:pPr>
      <w:rPr>
        <w:color w:val="000000"/>
        <w:sz w:val="22"/>
        <w:szCs w:val="22"/>
      </w:rPr>
    </w:lvl>
    <w:lvl w:ilvl="8" w:tplc="E92CECF4">
      <w:start w:val="1"/>
      <w:numFmt w:val="decimal"/>
      <w:lvlText w:val="%9."/>
      <w:lvlJc w:val="left"/>
      <w:pPr>
        <w:ind w:left="6480" w:hanging="360"/>
      </w:pPr>
      <w:rPr>
        <w:color w:val="000000"/>
        <w:sz w:val="22"/>
        <w:szCs w:val="22"/>
      </w:rPr>
    </w:lvl>
  </w:abstractNum>
  <w:abstractNum w:abstractNumId="31"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8"/>
  </w:num>
  <w:num w:numId="2">
    <w:abstractNumId w:val="7"/>
  </w:num>
  <w:num w:numId="3">
    <w:abstractNumId w:val="21"/>
  </w:num>
  <w:num w:numId="4">
    <w:abstractNumId w:val="5"/>
  </w:num>
  <w:num w:numId="5">
    <w:abstractNumId w:val="31"/>
  </w:num>
  <w:num w:numId="6">
    <w:abstractNumId w:val="18"/>
  </w:num>
  <w:num w:numId="7">
    <w:abstractNumId w:val="8"/>
  </w:num>
  <w:num w:numId="8">
    <w:abstractNumId w:val="20"/>
  </w:num>
  <w:num w:numId="9">
    <w:abstractNumId w:val="23"/>
  </w:num>
  <w:num w:numId="10">
    <w:abstractNumId w:val="6"/>
  </w:num>
  <w:num w:numId="11">
    <w:abstractNumId w:val="3"/>
  </w:num>
  <w:num w:numId="12">
    <w:abstractNumId w:val="16"/>
  </w:num>
  <w:num w:numId="13">
    <w:abstractNumId w:val="32"/>
  </w:num>
  <w:num w:numId="14">
    <w:abstractNumId w:val="1"/>
  </w:num>
  <w:num w:numId="15">
    <w:abstractNumId w:val="26"/>
  </w:num>
  <w:num w:numId="16">
    <w:abstractNumId w:val="10"/>
  </w:num>
  <w:num w:numId="17">
    <w:abstractNumId w:val="12"/>
  </w:num>
  <w:num w:numId="18">
    <w:abstractNumId w:val="15"/>
  </w:num>
  <w:num w:numId="19">
    <w:abstractNumId w:val="0"/>
  </w:num>
  <w:num w:numId="20">
    <w:abstractNumId w:val="22"/>
  </w:num>
  <w:num w:numId="21">
    <w:abstractNumId w:val="19"/>
  </w:num>
  <w:num w:numId="22">
    <w:abstractNumId w:val="4"/>
  </w:num>
  <w:num w:numId="23">
    <w:abstractNumId w:val="8"/>
  </w:num>
  <w:num w:numId="24">
    <w:abstractNumId w:val="27"/>
  </w:num>
  <w:num w:numId="25">
    <w:abstractNumId w:val="27"/>
  </w:num>
  <w:num w:numId="26">
    <w:abstractNumId w:val="24"/>
  </w:num>
  <w:num w:numId="27">
    <w:abstractNumId w:val="13"/>
  </w:num>
  <w:num w:numId="28">
    <w:abstractNumId w:val="17"/>
  </w:num>
  <w:num w:numId="29">
    <w:abstractNumId w:val="11"/>
  </w:num>
  <w:num w:numId="30">
    <w:abstractNumId w:val="2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
  </w:num>
  <w:num w:numId="34">
    <w:abstractNumId w:val="29"/>
  </w:num>
  <w:num w:numId="35">
    <w:abstractNumId w:val="1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0375"/>
    <w:rsid w:val="000024FF"/>
    <w:rsid w:val="00006E96"/>
    <w:rsid w:val="00030AB6"/>
    <w:rsid w:val="0003509C"/>
    <w:rsid w:val="00045304"/>
    <w:rsid w:val="00045725"/>
    <w:rsid w:val="00051385"/>
    <w:rsid w:val="00052891"/>
    <w:rsid w:val="00052ADE"/>
    <w:rsid w:val="0005404D"/>
    <w:rsid w:val="00070EB2"/>
    <w:rsid w:val="000913DD"/>
    <w:rsid w:val="00093925"/>
    <w:rsid w:val="000A17AC"/>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55AE"/>
    <w:rsid w:val="001A5701"/>
    <w:rsid w:val="001A641F"/>
    <w:rsid w:val="001B7D84"/>
    <w:rsid w:val="001B7EAA"/>
    <w:rsid w:val="001C5B2D"/>
    <w:rsid w:val="001D1445"/>
    <w:rsid w:val="001D2257"/>
    <w:rsid w:val="001D7342"/>
    <w:rsid w:val="00211EBA"/>
    <w:rsid w:val="002316EC"/>
    <w:rsid w:val="00232F7B"/>
    <w:rsid w:val="002330B2"/>
    <w:rsid w:val="00252F2F"/>
    <w:rsid w:val="002536CD"/>
    <w:rsid w:val="00256AA5"/>
    <w:rsid w:val="00281B9A"/>
    <w:rsid w:val="00283A0F"/>
    <w:rsid w:val="00285C03"/>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B101C"/>
    <w:rsid w:val="005D1F14"/>
    <w:rsid w:val="005F384C"/>
    <w:rsid w:val="00600E8B"/>
    <w:rsid w:val="00603BF5"/>
    <w:rsid w:val="00610E39"/>
    <w:rsid w:val="00626BA6"/>
    <w:rsid w:val="00631D59"/>
    <w:rsid w:val="0065486F"/>
    <w:rsid w:val="00671CF3"/>
    <w:rsid w:val="00673331"/>
    <w:rsid w:val="006779E9"/>
    <w:rsid w:val="0068403B"/>
    <w:rsid w:val="00694B1A"/>
    <w:rsid w:val="006A5BE4"/>
    <w:rsid w:val="006A625A"/>
    <w:rsid w:val="006B1B7E"/>
    <w:rsid w:val="006B3F4A"/>
    <w:rsid w:val="006C3A86"/>
    <w:rsid w:val="006D1867"/>
    <w:rsid w:val="006F26B3"/>
    <w:rsid w:val="006F4D9E"/>
    <w:rsid w:val="006F4EDC"/>
    <w:rsid w:val="006F6E65"/>
    <w:rsid w:val="00716104"/>
    <w:rsid w:val="00716924"/>
    <w:rsid w:val="00724C91"/>
    <w:rsid w:val="00744A6A"/>
    <w:rsid w:val="007938AD"/>
    <w:rsid w:val="00794C09"/>
    <w:rsid w:val="007A26FC"/>
    <w:rsid w:val="007B087F"/>
    <w:rsid w:val="007B5F3A"/>
    <w:rsid w:val="007D0D2F"/>
    <w:rsid w:val="007D27C9"/>
    <w:rsid w:val="007E4E8D"/>
    <w:rsid w:val="007E62A3"/>
    <w:rsid w:val="007E7825"/>
    <w:rsid w:val="0080247C"/>
    <w:rsid w:val="00812DEA"/>
    <w:rsid w:val="008171D3"/>
    <w:rsid w:val="008239FD"/>
    <w:rsid w:val="008363AA"/>
    <w:rsid w:val="00836D8A"/>
    <w:rsid w:val="00837BF8"/>
    <w:rsid w:val="00845156"/>
    <w:rsid w:val="008534BB"/>
    <w:rsid w:val="00861315"/>
    <w:rsid w:val="00865578"/>
    <w:rsid w:val="00866675"/>
    <w:rsid w:val="00873D52"/>
    <w:rsid w:val="00880275"/>
    <w:rsid w:val="00895C6A"/>
    <w:rsid w:val="0089747E"/>
    <w:rsid w:val="0090276B"/>
    <w:rsid w:val="00911A62"/>
    <w:rsid w:val="0091231F"/>
    <w:rsid w:val="00916F9C"/>
    <w:rsid w:val="00920B12"/>
    <w:rsid w:val="009322FB"/>
    <w:rsid w:val="00936100"/>
    <w:rsid w:val="0093637F"/>
    <w:rsid w:val="00937C57"/>
    <w:rsid w:val="00947686"/>
    <w:rsid w:val="00952845"/>
    <w:rsid w:val="0095511A"/>
    <w:rsid w:val="00962176"/>
    <w:rsid w:val="0096439B"/>
    <w:rsid w:val="00966D65"/>
    <w:rsid w:val="0097229F"/>
    <w:rsid w:val="00982923"/>
    <w:rsid w:val="00996147"/>
    <w:rsid w:val="009A3F9F"/>
    <w:rsid w:val="009A3FFA"/>
    <w:rsid w:val="009B7A4D"/>
    <w:rsid w:val="009D0410"/>
    <w:rsid w:val="009D1418"/>
    <w:rsid w:val="009D346A"/>
    <w:rsid w:val="009E113D"/>
    <w:rsid w:val="009F6310"/>
    <w:rsid w:val="00A22D0E"/>
    <w:rsid w:val="00A30CB5"/>
    <w:rsid w:val="00A30D23"/>
    <w:rsid w:val="00A32026"/>
    <w:rsid w:val="00A45B89"/>
    <w:rsid w:val="00A4613A"/>
    <w:rsid w:val="00A53574"/>
    <w:rsid w:val="00A6248F"/>
    <w:rsid w:val="00A84555"/>
    <w:rsid w:val="00A912E3"/>
    <w:rsid w:val="00AA1EB4"/>
    <w:rsid w:val="00AB5AF9"/>
    <w:rsid w:val="00AC4E08"/>
    <w:rsid w:val="00AE078F"/>
    <w:rsid w:val="00AF5EB5"/>
    <w:rsid w:val="00B00F7A"/>
    <w:rsid w:val="00B063C5"/>
    <w:rsid w:val="00B54E19"/>
    <w:rsid w:val="00B61C1E"/>
    <w:rsid w:val="00B813FF"/>
    <w:rsid w:val="00B83248"/>
    <w:rsid w:val="00B86E5C"/>
    <w:rsid w:val="00B96AF1"/>
    <w:rsid w:val="00BA79BD"/>
    <w:rsid w:val="00BC0BF1"/>
    <w:rsid w:val="00BC5910"/>
    <w:rsid w:val="00BD227D"/>
    <w:rsid w:val="00BD5C25"/>
    <w:rsid w:val="00BD7FAC"/>
    <w:rsid w:val="00BE0BFE"/>
    <w:rsid w:val="00BE568F"/>
    <w:rsid w:val="00BE6288"/>
    <w:rsid w:val="00BE7C94"/>
    <w:rsid w:val="00BF39AA"/>
    <w:rsid w:val="00C0544A"/>
    <w:rsid w:val="00C05FF8"/>
    <w:rsid w:val="00C06786"/>
    <w:rsid w:val="00C10067"/>
    <w:rsid w:val="00C24999"/>
    <w:rsid w:val="00C532E2"/>
    <w:rsid w:val="00C6025D"/>
    <w:rsid w:val="00C605CE"/>
    <w:rsid w:val="00C63813"/>
    <w:rsid w:val="00C65D2C"/>
    <w:rsid w:val="00C9364F"/>
    <w:rsid w:val="00C96D7D"/>
    <w:rsid w:val="00CA2FAC"/>
    <w:rsid w:val="00CA4B10"/>
    <w:rsid w:val="00CB064C"/>
    <w:rsid w:val="00CD404A"/>
    <w:rsid w:val="00CE08D5"/>
    <w:rsid w:val="00CE2260"/>
    <w:rsid w:val="00CF485C"/>
    <w:rsid w:val="00CF5485"/>
    <w:rsid w:val="00D10478"/>
    <w:rsid w:val="00D10A5B"/>
    <w:rsid w:val="00D12476"/>
    <w:rsid w:val="00D1471A"/>
    <w:rsid w:val="00D17E33"/>
    <w:rsid w:val="00D22CE4"/>
    <w:rsid w:val="00D2740C"/>
    <w:rsid w:val="00D44585"/>
    <w:rsid w:val="00D60E68"/>
    <w:rsid w:val="00D64189"/>
    <w:rsid w:val="00D74178"/>
    <w:rsid w:val="00D769A6"/>
    <w:rsid w:val="00D83F86"/>
    <w:rsid w:val="00D86812"/>
    <w:rsid w:val="00D972D5"/>
    <w:rsid w:val="00D97455"/>
    <w:rsid w:val="00DA6147"/>
    <w:rsid w:val="00DA7628"/>
    <w:rsid w:val="00DB3249"/>
    <w:rsid w:val="00DC6AFC"/>
    <w:rsid w:val="00DD061B"/>
    <w:rsid w:val="00DD3AD1"/>
    <w:rsid w:val="00DD672E"/>
    <w:rsid w:val="00DE1F74"/>
    <w:rsid w:val="00DE7367"/>
    <w:rsid w:val="00DF2CB4"/>
    <w:rsid w:val="00E03798"/>
    <w:rsid w:val="00E0729C"/>
    <w:rsid w:val="00E11EF0"/>
    <w:rsid w:val="00E15A2B"/>
    <w:rsid w:val="00E161C9"/>
    <w:rsid w:val="00E17A83"/>
    <w:rsid w:val="00E22339"/>
    <w:rsid w:val="00E27FC6"/>
    <w:rsid w:val="00E370F0"/>
    <w:rsid w:val="00E40E78"/>
    <w:rsid w:val="00E53496"/>
    <w:rsid w:val="00E567BE"/>
    <w:rsid w:val="00E77547"/>
    <w:rsid w:val="00E8321B"/>
    <w:rsid w:val="00E87F11"/>
    <w:rsid w:val="00E92084"/>
    <w:rsid w:val="00E9441E"/>
    <w:rsid w:val="00E950E7"/>
    <w:rsid w:val="00EA7D6F"/>
    <w:rsid w:val="00EC54E0"/>
    <w:rsid w:val="00EC6342"/>
    <w:rsid w:val="00EE0B64"/>
    <w:rsid w:val="00EE0E0F"/>
    <w:rsid w:val="00EF4828"/>
    <w:rsid w:val="00EF6136"/>
    <w:rsid w:val="00F0633F"/>
    <w:rsid w:val="00F063BF"/>
    <w:rsid w:val="00F23ACA"/>
    <w:rsid w:val="00F32009"/>
    <w:rsid w:val="00F3613F"/>
    <w:rsid w:val="00F37B6C"/>
    <w:rsid w:val="00F4050C"/>
    <w:rsid w:val="00F50025"/>
    <w:rsid w:val="00F50708"/>
    <w:rsid w:val="00F5357E"/>
    <w:rsid w:val="00F72D73"/>
    <w:rsid w:val="00F75B27"/>
    <w:rsid w:val="00F93C75"/>
    <w:rsid w:val="00FA08CB"/>
    <w:rsid w:val="00FB20AA"/>
    <w:rsid w:val="00FB7F87"/>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22899820">
      <w:bodyDiv w:val="1"/>
      <w:marLeft w:val="0"/>
      <w:marRight w:val="0"/>
      <w:marTop w:val="0"/>
      <w:marBottom w:val="0"/>
      <w:divBdr>
        <w:top w:val="none" w:sz="0" w:space="0" w:color="auto"/>
        <w:left w:val="none" w:sz="0" w:space="0" w:color="auto"/>
        <w:bottom w:val="none" w:sz="0" w:space="0" w:color="auto"/>
        <w:right w:val="none" w:sz="0" w:space="0" w:color="auto"/>
      </w:divBdr>
    </w:div>
    <w:div w:id="1488130688">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CC2-74D8-44FD-896A-C5637BB6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1898</Words>
  <Characters>10823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62</cp:revision>
  <cp:lastPrinted>2026-04-07T14:22:00Z</cp:lastPrinted>
  <dcterms:created xsi:type="dcterms:W3CDTF">2020-09-07T13:29:00Z</dcterms:created>
  <dcterms:modified xsi:type="dcterms:W3CDTF">2026-04-08T06:31:00Z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